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43CBB" w14:textId="77777777" w:rsidR="00AB1C74" w:rsidRPr="00AB1C74" w:rsidRDefault="00AB1C74" w:rsidP="00AB1C74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B1C7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Об администрировании нулевой ставки НДС в Таможенном союзе (письмо МНС Республики Беларусь от 11.06.2012 № 2-1-9/1242)</w:t>
      </w:r>
    </w:p>
    <w:p w14:paraId="141AA99A" w14:textId="77777777" w:rsidR="00AB1C74" w:rsidRPr="00AB1C74" w:rsidRDefault="00AB1C74" w:rsidP="00AB1C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C74">
        <w:rPr>
          <w:rFonts w:ascii="Times New Roman" w:eastAsia="Times New Roman" w:hAnsi="Times New Roman" w:cs="Times New Roman"/>
          <w:sz w:val="24"/>
          <w:szCs w:val="24"/>
          <w:lang w:eastAsia="ru-RU"/>
        </w:rPr>
        <w:t>15.06.2012</w:t>
      </w:r>
    </w:p>
    <w:p w14:paraId="5DE9405A" w14:textId="77777777" w:rsidR="00AB1C74" w:rsidRPr="00AB1C74" w:rsidRDefault="00AB1C74" w:rsidP="00AB1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Взимание косвенных налогов в Таможенном союзе регламентировано международным договором - Протоколом о порядке взимания косвенных налогов и механизме контроля за их уплатой при экспорте и импорте товаров в Таможенном союзе от 11.12.2009. </w:t>
      </w:r>
      <w:r w:rsidRPr="00AB1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подтверждения обоснованности применения нулевой ставки НДС по товарам, экспортированным в государства – члены Таможенного союза, плательщики в соответствии со статьей 102 Налогового кодекса Республики Беларусь представляют в налоговый орган только один документ на бумажном носителе - Заявление о ввозе товаров и уплате косвенных налогов (далее - Заявление). Остальные документы, установленные международным договором, в налоговый орган не представляются (требуется их наличие у плательщика). </w:t>
      </w:r>
      <w:r w:rsidRPr="00AB1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Одновременно следует учитывать положения Протокола об обмене информацией в электронном виде между налоговыми органами государств-членов Таможенного союза об уплаченных суммах косвенных налогов от 11.12.2009, который содержит норму об обмене информацией между налоговыми органами государств-членов Таможенного союза. Это означает, что после уплаты косвенных налогов при импорте товаров соответствующая информация в обязательном порядке будет направлена в налоговый орган, где состоит на учете экспортер. В связи с чем, налоговые органы Республики Беларусь реализуют сервис по электронному информированию плательщиков - экспортеров, сообщивших свой электронный адрес, о получении этой информации от ФНС России и Налогового комитета Министерства финансов Республики Казахстан. </w:t>
      </w:r>
    </w:p>
    <w:p w14:paraId="58569A81" w14:textId="77777777" w:rsidR="00AB1C74" w:rsidRPr="00AB1C74" w:rsidRDefault="00AB1C74" w:rsidP="00AB1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C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эффективного администрирования нулевой ставки НДС при экспорте товаров в Таможенном союзе, направляем для использования в работе и информирования подведомственных организаций (плательщиков) извлечение из письма МНС от 11.05.2012 №7-2-15/1033.</w:t>
      </w:r>
    </w:p>
    <w:p w14:paraId="0D723097" w14:textId="77777777" w:rsidR="00AB1C74" w:rsidRPr="00AB1C74" w:rsidRDefault="00AB1C74" w:rsidP="00AB1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Первый заместитель Министра по налогам </w:t>
      </w:r>
      <w:r w:rsidRPr="00AB1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сборам Республики Беларусь</w:t>
      </w:r>
    </w:p>
    <w:p w14:paraId="70BECFA5" w14:textId="77777777" w:rsidR="00AB1C74" w:rsidRPr="00AB1C74" w:rsidRDefault="00AB1C74" w:rsidP="00AB1C74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C74">
        <w:rPr>
          <w:rFonts w:ascii="Times New Roman" w:eastAsia="Times New Roman" w:hAnsi="Times New Roman" w:cs="Times New Roman"/>
          <w:sz w:val="24"/>
          <w:szCs w:val="24"/>
          <w:lang w:eastAsia="ru-RU"/>
        </w:rPr>
        <w:t>С.Э. Наливайко</w:t>
      </w:r>
    </w:p>
    <w:p w14:paraId="6330CF05" w14:textId="77777777" w:rsidR="00AB1C74" w:rsidRPr="00AB1C74" w:rsidRDefault="00AB1C74" w:rsidP="00AB1C7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C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Приложение к письму МНС от 11.06.2012 №2-1-9/1242 </w:t>
      </w:r>
      <w:r w:rsidRPr="00AB1C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AB1C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AB1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ИЗВЛЕЧЕНИЕ ИЗ ПИСЬМА от 11 мая 2012 г. № 7-2-15/1033</w:t>
      </w:r>
      <w:r w:rsidRPr="00AB1C74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�</w:t>
      </w:r>
      <w:r w:rsidRPr="00AB1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AB1C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AB1C74">
        <w:rPr>
          <w:rFonts w:ascii="Times New Roman" w:eastAsia="Times New Roman" w:hAnsi="Times New Roman" w:cs="Times New Roman"/>
          <w:sz w:val="24"/>
          <w:szCs w:val="24"/>
          <w:lang w:eastAsia="ru-RU"/>
        </w:rPr>
        <w:t>«Если по анализируемой налоговой декларации по НДС (контролируемой хозяйственной операции) представлено Заявление на бумажном носителе, а электронное подтверждение отсутствует, то налоговый орган должен сформировать по установленной форме запрос для направления в налоговый орган соответствующего государства-члена Таможенного союза о представлении Заявления в электронном виде.</w:t>
      </w:r>
      <w:r w:rsidRPr="00AB1C74">
        <w:rPr>
          <w:rFonts w:ascii="Tahoma" w:eastAsia="Times New Roman" w:hAnsi="Tahoma" w:cs="Tahoma"/>
          <w:sz w:val="24"/>
          <w:szCs w:val="24"/>
          <w:lang w:eastAsia="ru-RU"/>
        </w:rPr>
        <w:t>�</w:t>
      </w:r>
      <w:r w:rsidRPr="00AB1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AB1C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Справочно</w:t>
      </w:r>
      <w:proofErr w:type="spellEnd"/>
      <w:r w:rsidRPr="00AB1C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согласно статье 2 Протокола об обмене информацией в электронном виде между налоговыми органами государств-членов Таможенного союза об уплаченных суммах косвенных налогов от 11.12.2009 (далее - Протокол по обмену информацией) в случае представления плательщиком в налоговые органы экземпляра Заявления и при отсутствии его в электронном виде налоговый орган - получатель информации формирует запрос о представлении Заявления в электронном виде. Обмен информацией по запросам </w:t>
      </w:r>
      <w:r w:rsidRPr="00AB1C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осуществляется между налоговыми органами в электронном виде в форме реестра запросов.</w:t>
      </w:r>
      <w:r w:rsidRPr="00AB1C7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AB1C7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запрос может быть также сформирован по просьбе белорусского экспортера, получившего бумажный экземпляр Заявления, но не отразившего в налоговой декларации по НДС обороты по экспорту товара по ставке ноль (0) процентов ввиду отсутствия электронного подтверждения. В этой связи плательщиков необходимо ориентировать на то, что, в соответствии с Протоколом по обмену информацией, обмен информацией осуществляется между налоговыми органами государств-членов Таможенного союза ежемесячно после проставления налоговым органом отметки на Заявлении. Поэтому при получении от импортера экземпляра Заявления на бумажном носителе и отсутствии электронного подтверждения в течение месяца, следующего за получением экземпляра Заявления на бумажном носителе, плательщику следует обращаться в налоговый орган по месту постановки на учет с просьбой направить запрос в налоговый орган соответствующего государства-члена Таможенного союза.</w:t>
      </w:r>
      <w:r w:rsidRPr="00AB1C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Налоговый орган государства-члена Таможенного союза должен направить ответ в течение 10 рабочих дней с момента получения реестра запросов. В случае непоступления электронной версии Заявления в течение месяца с момента направления запроса налоговому органу Республики Беларусь следует направлять повторный запрос в целях получения информации в виде электронного подтверждения или официального ответа налогового органа, подтверждающего размер импорта белорусского товара в размере, соответствующем заявленному экспорту. В целом, при администрировании ставки НДС ноль (0) процентов при экспорте товаров в государства – члены Таможенного союза необходимо исходить из того, что экземпляры Заявления на бумажном носителе, представленные экспортером, в конечном итоге должны быть подтверждены налоговой службой государства, где зарегистрирован импортер». </w:t>
      </w:r>
    </w:p>
    <w:p w14:paraId="46C15A76" w14:textId="77777777" w:rsidR="00583F58" w:rsidRPr="00AB1C74" w:rsidRDefault="00583F58" w:rsidP="00AB1C74">
      <w:pPr>
        <w:jc w:val="both"/>
      </w:pPr>
    </w:p>
    <w:sectPr w:rsidR="00583F58" w:rsidRPr="00AB1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F58"/>
    <w:rsid w:val="003863A3"/>
    <w:rsid w:val="00583F58"/>
    <w:rsid w:val="00633955"/>
    <w:rsid w:val="00AB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2D9FB"/>
  <w15:chartTrackingRefBased/>
  <w15:docId w15:val="{166D2A7A-03D0-4EDE-B8FC-79063901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3F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F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3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33955"/>
    <w:rPr>
      <w:i/>
      <w:iCs/>
    </w:rPr>
  </w:style>
  <w:style w:type="character" w:styleId="a5">
    <w:name w:val="Strong"/>
    <w:basedOn w:val="a0"/>
    <w:uiPriority w:val="22"/>
    <w:qFormat/>
    <w:rsid w:val="00AB1C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1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5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8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7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718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Тишковец Анастасия Александровна</dc:creator>
  <cp:keywords/>
  <dc:description/>
  <cp:lastModifiedBy>Тишковец Анастасия Александровна</cp:lastModifiedBy>
  <cp:revision>2</cp:revision>
  <dcterms:created xsi:type="dcterms:W3CDTF">2021-12-14T16:58:00Z</dcterms:created>
  <dcterms:modified xsi:type="dcterms:W3CDTF">2021-12-14T16:58:00Z</dcterms:modified>
</cp:coreProperties>
</file>