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500F0" w14:textId="77777777" w:rsidR="00633955" w:rsidRPr="00633955" w:rsidRDefault="00633955" w:rsidP="00633955">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633955">
        <w:rPr>
          <w:rFonts w:ascii="Times New Roman" w:eastAsia="Times New Roman" w:hAnsi="Times New Roman" w:cs="Times New Roman"/>
          <w:b/>
          <w:bCs/>
          <w:kern w:val="36"/>
          <w:sz w:val="28"/>
          <w:szCs w:val="28"/>
          <w:lang w:eastAsia="ru-RU"/>
        </w:rPr>
        <w:t>Письмо МНС Республики Беларусь от 07.12.2012 № 2-1-10/2515 "О некоторых вопросах исчисления НДС в 2013 году в «переходный» период"</w:t>
      </w:r>
    </w:p>
    <w:p w14:paraId="6DA1DDB0" w14:textId="77777777" w:rsidR="00633955" w:rsidRPr="00633955" w:rsidRDefault="00633955" w:rsidP="00633955">
      <w:pPr>
        <w:spacing w:after="0"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17.12.2012</w:t>
      </w:r>
    </w:p>
    <w:p w14:paraId="75C2955B"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В связи со вступлением в силу с 1 января 2013 г. Закона Республики Беларусь от 26.10.2012 № 431-З «О внесении изменений и дополнений в Налоговый кодекс Республики Беларусь» Министерство по налогам и сборам сообщает следующее. </w:t>
      </w:r>
    </w:p>
    <w:p w14:paraId="44E8BDF8"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1. Статьей 100 Налогового кодекса Республики Беларусь (в редакции, действующей с 2013 г., далее - НК) установлен только один метод определения момента фактической реализации (далее - МФР) для целей исчисления НДС – как приходящийся на отчетный период день отгрузки товаров (выполнения работ, оказания услуг), передачи имущественных прав независимо от даты проведения расчетов по ним (далее – МФР «по отгрузке»). </w:t>
      </w:r>
    </w:p>
    <w:p w14:paraId="2FCC9AF4"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Плательщики, определяющие в 2012 г. МФР для целей исчисления НДС как приходящийся на отчетный период день зачисления (поступления) денежных средств, но не позднее 60 дней со дня отгрузки товаров (выполнения работ, оказания услуг), передачи имущественных прав (далее – МФР «по оплате»), в «переходный» период должны руководствоваться нормами пункта 10 статьи 103 НК. </w:t>
      </w:r>
    </w:p>
    <w:p w14:paraId="57613D88"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Исходя из положений пункта 10 статьи 103 НК при переходе с определения МФР «по оплате» на определение МФР «по отгрузке»: </w:t>
      </w:r>
    </w:p>
    <w:p w14:paraId="488281C4"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 </w:t>
      </w:r>
      <w:r w:rsidRPr="00633955">
        <w:rPr>
          <w:rFonts w:ascii="Times New Roman" w:eastAsia="Times New Roman" w:hAnsi="Times New Roman" w:cs="Times New Roman"/>
          <w:sz w:val="24"/>
          <w:szCs w:val="24"/>
          <w:u w:val="single"/>
          <w:lang w:eastAsia="ru-RU"/>
        </w:rPr>
        <w:t>новый порядок определения МФР «по отгрузке» должен применяться:</w:t>
      </w:r>
    </w:p>
    <w:p w14:paraId="51B9239A"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в отношении товаров (работ, услуг), имущественных прав, отгруженных (выполненных, оказанных), переданных с 01.01.2013; </w:t>
      </w:r>
    </w:p>
    <w:p w14:paraId="4697BE43"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в отношении объектов (предметов) аренды (финансовой аренды (лизинга)), момент сдачи (передачи) которых в аренду (финансовую аренду (лизинг)), определяемый в соответствии с пунктом 11 статьи 100 НК, наступил с 01.01.2013; </w:t>
      </w:r>
    </w:p>
    <w:p w14:paraId="466AD8B8"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 </w:t>
      </w:r>
      <w:r w:rsidRPr="00633955">
        <w:rPr>
          <w:rFonts w:ascii="Times New Roman" w:eastAsia="Times New Roman" w:hAnsi="Times New Roman" w:cs="Times New Roman"/>
          <w:sz w:val="24"/>
          <w:szCs w:val="24"/>
          <w:u w:val="single"/>
          <w:lang w:eastAsia="ru-RU"/>
        </w:rPr>
        <w:t>прежний порядок определения МФР «по оплате» должен применяться:</w:t>
      </w:r>
    </w:p>
    <w:p w14:paraId="0C08F685"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в отношении товаров (работ, услуг), имущественных прав, отгруженных (выполненных, оказанных), переданных до 01.01.2013; </w:t>
      </w:r>
    </w:p>
    <w:p w14:paraId="4EE60077"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в отношении объектов (предметов) аренды (финансовой аренды (лизинга)), момент сдачи (передачи) которых в аренду (финансовую аренду (лизинг)), определяемый в соответствии с пунктом 11 статьи 100 НК, наступил до 01.01.2013. </w:t>
      </w:r>
    </w:p>
    <w:p w14:paraId="68ACBF40"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Соответственно, плательщики, определяющие в 2012 г. МФР «по оплате», обязаны по отгрузкам, произведенным до 01.01.2013 и оплаченным с 01.01.2013, определить МФР для целей исчисления НДС как приходящийся на отчетный период 2013 г. день зачисления (поступления) денежных средств, но не позднее 60 дней со дня отгрузки товаров (выполнения работ, оказания услуг), передачи имущественных прав. </w:t>
      </w:r>
    </w:p>
    <w:p w14:paraId="4631FB47"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2. На основании части второй пункта 5 статьи 100 НК плательщики, определенные пунктами 3 и 4 статьи 92 НК, для целей исчисления НДС в соответствии со статьей 92 НК, </w:t>
      </w:r>
      <w:r w:rsidRPr="00633955">
        <w:rPr>
          <w:rFonts w:ascii="Times New Roman" w:eastAsia="Times New Roman" w:hAnsi="Times New Roman" w:cs="Times New Roman"/>
          <w:sz w:val="24"/>
          <w:szCs w:val="24"/>
          <w:lang w:eastAsia="ru-RU"/>
        </w:rPr>
        <w:lastRenderedPageBreak/>
        <w:t xml:space="preserve">определяют с 2013 г. МФР как день отгрузки товаров (выполнения работ, оказания услуг), передачи имущественных прав покупателям (заказчикам) этих товаров (работ, услуг), имущественных прав. </w:t>
      </w:r>
    </w:p>
    <w:p w14:paraId="0681A465"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В настоящее время (т.е. до 2013 г.) такие плательщики определяют МФР как день оплаты либо иного прекращения обязательств покупателями (заказчиками) товаров (работ, услуг), имущественных прав. </w:t>
      </w:r>
    </w:p>
    <w:p w14:paraId="368C62C0"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Исходя из положений пункта 10 статьи 103 НК новый порядок определения МФР применяется в отношении товаров (работ, услуг), имущественных прав, реализуемых на территории Республики Беларусь иностранными организациями, не состоящими на учете в налоговых органах Республики Беларусь, МФР которых наступил с 01.01.2013. </w:t>
      </w:r>
    </w:p>
    <w:p w14:paraId="42B53219"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3. Обращаем внимание, что глава 12 НК содержит ряд исключений, когда МФР не определяется «по отгрузке». Так, в частности: </w:t>
      </w:r>
    </w:p>
    <w:p w14:paraId="3C4FB476"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3.1. пунктом 17 статьи 100 НК нормативно закреплено, что плательщики, за исключением банков, при осуществлении операций по предоставлению возмездных денежных займов, кроме коммерческих займов, определяют МФР как день получения доходов, связанных с предоставлением таких займов. </w:t>
      </w:r>
    </w:p>
    <w:p w14:paraId="58CAE25D"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Положения пункта 17 статьи 100 НК распространяются на краткосрочные займы под залог имущества, предоставляемые ломбардами; </w:t>
      </w:r>
    </w:p>
    <w:p w14:paraId="7A5AFF45"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3.2. статьей 921 НК для плательщиков, применяющих упрощенную систему налогообложения с уплатой НДС и ведущих учет в книге учета доходов и расходов (не ведущих бухгалтерский учет), с 2013 г. устанавливается МФР «по оплате» (т.е. как приходящийся на отчетный период день зачисления (поступления) денежных средств, но не позднее 60 дней со дня отгрузки товаров (выполнения работ, оказания услуг), передачи имущественных прав); </w:t>
      </w:r>
    </w:p>
    <w:p w14:paraId="0FFFF314"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3.3. как и ранее, налоговая база по НДС: </w:t>
      </w:r>
    </w:p>
    <w:p w14:paraId="691D073A"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 увеличивается (уменьшается) в порядке, установленном пунктами 6 и 7 статьи 97 НК, на суммы, определенные пунктом 8 статьи 100 НК. С 2013 г. в отношении указанных сумм МФР не изменился и определяется как день их получения; </w:t>
      </w:r>
    </w:p>
    <w:p w14:paraId="19AB286B"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 увеличивается на суммы, определенные пунктом 18 статьи 98 НК, в момент их фактического получения. </w:t>
      </w:r>
    </w:p>
    <w:p w14:paraId="563A5D5F"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4. С 2013 г. частью третьей пункта 7 статьи 102 НК определен перечень документов, подтверждающих обоснованность применения нулевой ставки НДС при экспорте в государства – члены Таможенного союза товаров, помещенных на территории государств – членов Таможенного союза под таможенные процедуры свободной таможенной зоны (далее - СТЗ) или свободного слада (далее - СС). </w:t>
      </w:r>
    </w:p>
    <w:p w14:paraId="181CF0D0"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Указанный перечень документов не включает выписку банка о поступлении выручки на счет экспортера, которая требуется в настоящее время по перечню документов, определенному статьей 1 Протокола о порядке взимания косвенных налогов и механизме контроля за их уплатой при экспорте и импорте товаров в Таможенном союзе от 11.12.2009 (далее – Протокол ТС). </w:t>
      </w:r>
    </w:p>
    <w:p w14:paraId="294F133C"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lastRenderedPageBreak/>
        <w:t xml:space="preserve">В налоговый орган одновременно с налоговой декларацией (расчетом) по НДС предоставлена возможность представлять только один документ – копию таможенной декларации, заверенную таможенным органом государства – члена Таможенного союза. </w:t>
      </w:r>
    </w:p>
    <w:p w14:paraId="59A1BD10"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633955">
        <w:rPr>
          <w:rFonts w:ascii="Times New Roman" w:eastAsia="Times New Roman" w:hAnsi="Times New Roman" w:cs="Times New Roman"/>
          <w:i/>
          <w:iCs/>
          <w:sz w:val="24"/>
          <w:szCs w:val="24"/>
          <w:lang w:eastAsia="ru-RU"/>
        </w:rPr>
        <w:t>Справочно</w:t>
      </w:r>
      <w:proofErr w:type="spellEnd"/>
      <w:r w:rsidRPr="00633955">
        <w:rPr>
          <w:rFonts w:ascii="Times New Roman" w:eastAsia="Times New Roman" w:hAnsi="Times New Roman" w:cs="Times New Roman"/>
          <w:i/>
          <w:iCs/>
          <w:sz w:val="24"/>
          <w:szCs w:val="24"/>
          <w:lang w:eastAsia="ru-RU"/>
        </w:rPr>
        <w:t xml:space="preserve">. В соответствии со статьей 21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18.06.2010 и статьей 18 Соглашения о свободных складах и таможенной процедуре свободного склада от 18.06.2010 для подтверждения обоснованности применения нулевой ставки НДС в порядке, установленном статьей 1 Протокола ТС, в случае реализации товаров с территории одного государства - члена Таможенного союза на территорию другого государства - члена Таможенного союза и помещения их под таможенные процедуры СТЗ или СС на территории другого государства - члена Таможенного союза вместо заявления о ввозе товаров и уплате косвенных налогов в налоговый орган представляется заверенная таможенным органом копия таможенной декларации, в соответствии с которой такие товары помещены под таможенные процедуры СТЗ или СС. </w:t>
      </w:r>
    </w:p>
    <w:p w14:paraId="2CDEE79B"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Подтверждение обоснованности применения нулевой ставки НДС при экспорте товаров, помещенных на территории государств – членов Таможенного союза под таможенные процедуры СТЗ или СС, обороты по реализации которых отражены плательщиком в налоговых декларациях (расчетах) по НДС: </w:t>
      </w:r>
    </w:p>
    <w:p w14:paraId="7E67E226"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за отчетные периоды 2012 г., - производится на основании документов, определенных статьей 1 Протокола ТС, т.е. на основании документов, требовавшихся в 2012 г., с их представлением в налоговый орган; </w:t>
      </w:r>
    </w:p>
    <w:p w14:paraId="725BB886"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за отчетные периоды 2013 г., - производится на основании документов, определенных частью третьей пункта 7 статьи 102 НК, с представлением в налоговый орган только копии таможенной декларации, заверенной таможенным органом государства - члена Таможенного союза. </w:t>
      </w:r>
    </w:p>
    <w:p w14:paraId="43C2DC19"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Учитывая положения пункта 8 и части одиннадцатой пункта 2 статьи 102 НК, если в 2013 г. будут получены документы, требовавшиеся в 2012 г. для подтверждения обоснованности применения нулевой ставки НДС по товарам, оборот по реализации которых был отражен в налоговой декларации (расчете) по НДС за отчетные периоды 2012 г. с налогообложением по общеустановленной ставке НДС, то в налоговой декларации (расчете) по НДС за отчетные периоды 2013 г. отражается оборот по нулевой ставке НДС с одновременным уменьшением оборота по общеустановленной ставке НДС. Подтверждение нулевой ставки НДС в таких случаях производится на основании наличия документов, требовавшихся в 2012 г., с представлением в 2013 г. в налоговый орган только копии таможенной декларации, заверенной таможенным органом государства - члена Таможенного союза. </w:t>
      </w:r>
    </w:p>
    <w:p w14:paraId="258288D2"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br/>
        <w:t xml:space="preserve">Заместитель Министра по налогам и сборам </w:t>
      </w:r>
    </w:p>
    <w:p w14:paraId="1BC79CAF"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Республики Беларусь</w:t>
      </w:r>
    </w:p>
    <w:p w14:paraId="53D2A87C" w14:textId="77777777" w:rsidR="00633955" w:rsidRPr="00633955" w:rsidRDefault="00633955" w:rsidP="006339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33955">
        <w:rPr>
          <w:rFonts w:ascii="Times New Roman" w:eastAsia="Times New Roman" w:hAnsi="Times New Roman" w:cs="Times New Roman"/>
          <w:sz w:val="24"/>
          <w:szCs w:val="24"/>
          <w:lang w:eastAsia="ru-RU"/>
        </w:rPr>
        <w:t xml:space="preserve">Э.А. </w:t>
      </w:r>
      <w:proofErr w:type="spellStart"/>
      <w:r w:rsidRPr="00633955">
        <w:rPr>
          <w:rFonts w:ascii="Times New Roman" w:eastAsia="Times New Roman" w:hAnsi="Times New Roman" w:cs="Times New Roman"/>
          <w:sz w:val="24"/>
          <w:szCs w:val="24"/>
          <w:lang w:eastAsia="ru-RU"/>
        </w:rPr>
        <w:t>Селицкая</w:t>
      </w:r>
      <w:proofErr w:type="spellEnd"/>
    </w:p>
    <w:p w14:paraId="46C15A76" w14:textId="77777777" w:rsidR="00583F58" w:rsidRPr="00633955" w:rsidRDefault="00583F58" w:rsidP="00633955">
      <w:pPr>
        <w:jc w:val="both"/>
      </w:pPr>
    </w:p>
    <w:sectPr w:rsidR="00583F58" w:rsidRPr="006339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58"/>
    <w:rsid w:val="003863A3"/>
    <w:rsid w:val="00583F58"/>
    <w:rsid w:val="00633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D9FB"/>
  <w15:chartTrackingRefBased/>
  <w15:docId w15:val="{166D2A7A-03D0-4EDE-B8FC-79063901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83F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3F5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339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339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06337">
      <w:bodyDiv w:val="1"/>
      <w:marLeft w:val="0"/>
      <w:marRight w:val="0"/>
      <w:marTop w:val="0"/>
      <w:marBottom w:val="0"/>
      <w:divBdr>
        <w:top w:val="none" w:sz="0" w:space="0" w:color="auto"/>
        <w:left w:val="none" w:sz="0" w:space="0" w:color="auto"/>
        <w:bottom w:val="none" w:sz="0" w:space="0" w:color="auto"/>
        <w:right w:val="none" w:sz="0" w:space="0" w:color="auto"/>
      </w:divBdr>
      <w:divsChild>
        <w:div w:id="299388935">
          <w:marLeft w:val="0"/>
          <w:marRight w:val="0"/>
          <w:marTop w:val="0"/>
          <w:marBottom w:val="0"/>
          <w:divBdr>
            <w:top w:val="none" w:sz="0" w:space="0" w:color="auto"/>
            <w:left w:val="none" w:sz="0" w:space="0" w:color="auto"/>
            <w:bottom w:val="none" w:sz="0" w:space="0" w:color="auto"/>
            <w:right w:val="none" w:sz="0" w:space="0" w:color="auto"/>
          </w:divBdr>
          <w:divsChild>
            <w:div w:id="207705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6676">
      <w:bodyDiv w:val="1"/>
      <w:marLeft w:val="0"/>
      <w:marRight w:val="0"/>
      <w:marTop w:val="0"/>
      <w:marBottom w:val="0"/>
      <w:divBdr>
        <w:top w:val="none" w:sz="0" w:space="0" w:color="auto"/>
        <w:left w:val="none" w:sz="0" w:space="0" w:color="auto"/>
        <w:bottom w:val="none" w:sz="0" w:space="0" w:color="auto"/>
        <w:right w:val="none" w:sz="0" w:space="0" w:color="auto"/>
      </w:divBdr>
      <w:divsChild>
        <w:div w:id="147675885">
          <w:marLeft w:val="0"/>
          <w:marRight w:val="0"/>
          <w:marTop w:val="0"/>
          <w:marBottom w:val="0"/>
          <w:divBdr>
            <w:top w:val="none" w:sz="0" w:space="0" w:color="auto"/>
            <w:left w:val="none" w:sz="0" w:space="0" w:color="auto"/>
            <w:bottom w:val="none" w:sz="0" w:space="0" w:color="auto"/>
            <w:right w:val="none" w:sz="0" w:space="0" w:color="auto"/>
          </w:divBdr>
        </w:div>
        <w:div w:id="53168869">
          <w:marLeft w:val="0"/>
          <w:marRight w:val="0"/>
          <w:marTop w:val="0"/>
          <w:marBottom w:val="0"/>
          <w:divBdr>
            <w:top w:val="none" w:sz="0" w:space="0" w:color="auto"/>
            <w:left w:val="none" w:sz="0" w:space="0" w:color="auto"/>
            <w:bottom w:val="none" w:sz="0" w:space="0" w:color="auto"/>
            <w:right w:val="none" w:sz="0" w:space="0" w:color="auto"/>
          </w:divBdr>
          <w:divsChild>
            <w:div w:id="1816602022">
              <w:marLeft w:val="0"/>
              <w:marRight w:val="0"/>
              <w:marTop w:val="0"/>
              <w:marBottom w:val="0"/>
              <w:divBdr>
                <w:top w:val="none" w:sz="0" w:space="0" w:color="auto"/>
                <w:left w:val="none" w:sz="0" w:space="0" w:color="auto"/>
                <w:bottom w:val="none" w:sz="0" w:space="0" w:color="auto"/>
                <w:right w:val="none" w:sz="0" w:space="0" w:color="auto"/>
              </w:divBdr>
            </w:div>
            <w:div w:id="19945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630440">
      <w:bodyDiv w:val="1"/>
      <w:marLeft w:val="0"/>
      <w:marRight w:val="0"/>
      <w:marTop w:val="0"/>
      <w:marBottom w:val="0"/>
      <w:divBdr>
        <w:top w:val="none" w:sz="0" w:space="0" w:color="auto"/>
        <w:left w:val="none" w:sz="0" w:space="0" w:color="auto"/>
        <w:bottom w:val="none" w:sz="0" w:space="0" w:color="auto"/>
        <w:right w:val="none" w:sz="0" w:space="0" w:color="auto"/>
      </w:divBdr>
      <w:divsChild>
        <w:div w:id="478807188">
          <w:marLeft w:val="0"/>
          <w:marRight w:val="0"/>
          <w:marTop w:val="0"/>
          <w:marBottom w:val="0"/>
          <w:divBdr>
            <w:top w:val="none" w:sz="0" w:space="0" w:color="auto"/>
            <w:left w:val="none" w:sz="0" w:space="0" w:color="auto"/>
            <w:bottom w:val="none" w:sz="0" w:space="0" w:color="auto"/>
            <w:right w:val="none" w:sz="0" w:space="0" w:color="auto"/>
          </w:divBdr>
        </w:div>
        <w:div w:id="160436722">
          <w:marLeft w:val="0"/>
          <w:marRight w:val="0"/>
          <w:marTop w:val="0"/>
          <w:marBottom w:val="0"/>
          <w:divBdr>
            <w:top w:val="none" w:sz="0" w:space="0" w:color="auto"/>
            <w:left w:val="none" w:sz="0" w:space="0" w:color="auto"/>
            <w:bottom w:val="none" w:sz="0" w:space="0" w:color="auto"/>
            <w:right w:val="none" w:sz="0" w:space="0" w:color="auto"/>
          </w:divBdr>
          <w:divsChild>
            <w:div w:id="813182413">
              <w:marLeft w:val="0"/>
              <w:marRight w:val="0"/>
              <w:marTop w:val="0"/>
              <w:marBottom w:val="0"/>
              <w:divBdr>
                <w:top w:val="none" w:sz="0" w:space="0" w:color="auto"/>
                <w:left w:val="none" w:sz="0" w:space="0" w:color="auto"/>
                <w:bottom w:val="none" w:sz="0" w:space="0" w:color="auto"/>
                <w:right w:val="none" w:sz="0" w:space="0" w:color="auto"/>
              </w:divBdr>
            </w:div>
            <w:div w:id="97048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1221</Words>
  <Characters>6961</Characters>
  <Application>Microsoft Office Word</Application>
  <DocSecurity>0</DocSecurity>
  <Lines>58</Lines>
  <Paragraphs>16</Paragraphs>
  <ScaleCrop>false</ScaleCrop>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Тишковец Анастасия Александровна</dc:creator>
  <cp:keywords/>
  <dc:description/>
  <cp:lastModifiedBy>Тишковец Анастасия Александровна</cp:lastModifiedBy>
  <cp:revision>2</cp:revision>
  <dcterms:created xsi:type="dcterms:W3CDTF">2021-12-14T16:55:00Z</dcterms:created>
  <dcterms:modified xsi:type="dcterms:W3CDTF">2021-12-14T16:55:00Z</dcterms:modified>
</cp:coreProperties>
</file>