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CD69" w14:textId="7909F611" w:rsidR="00B42318" w:rsidRPr="007A1CB4" w:rsidRDefault="00B42318" w:rsidP="00B42318">
      <w:pPr>
        <w:pStyle w:val="ConsPlusNormal"/>
        <w:jc w:val="center"/>
        <w:rPr>
          <w:b/>
          <w:szCs w:val="30"/>
        </w:rPr>
      </w:pPr>
      <w:r w:rsidRPr="007A1CB4">
        <w:rPr>
          <w:b/>
        </w:rPr>
        <w:t xml:space="preserve">О требованиях, </w:t>
      </w:r>
      <w:r w:rsidRPr="007A1CB4">
        <w:rPr>
          <w:b/>
          <w:szCs w:val="30"/>
        </w:rPr>
        <w:t xml:space="preserve">предъявляемых к </w:t>
      </w:r>
      <w:r w:rsidRPr="007A1CB4">
        <w:rPr>
          <w:rFonts w:eastAsiaTheme="minorHAnsi"/>
          <w:b/>
          <w:szCs w:val="30"/>
          <w:lang w:eastAsia="en-US"/>
        </w:rPr>
        <w:t>складам для</w:t>
      </w:r>
      <w:r>
        <w:rPr>
          <w:rFonts w:eastAsiaTheme="minorHAnsi"/>
          <w:b/>
          <w:szCs w:val="30"/>
          <w:lang w:eastAsia="en-US"/>
        </w:rPr>
        <w:t xml:space="preserve"> </w:t>
      </w:r>
      <w:r w:rsidRPr="007A1CB4">
        <w:rPr>
          <w:rFonts w:eastAsiaTheme="minorHAnsi"/>
          <w:b/>
          <w:szCs w:val="30"/>
          <w:lang w:eastAsia="en-US"/>
        </w:rPr>
        <w:t>хранения товаров и</w:t>
      </w:r>
      <w:r>
        <w:rPr>
          <w:rFonts w:eastAsiaTheme="minorHAnsi"/>
          <w:b/>
          <w:szCs w:val="30"/>
          <w:lang w:eastAsia="en-US"/>
        </w:rPr>
        <w:t xml:space="preserve"> </w:t>
      </w:r>
      <w:r w:rsidRPr="007A1CB4">
        <w:rPr>
          <w:rFonts w:eastAsiaTheme="minorHAnsi"/>
          <w:b/>
          <w:szCs w:val="30"/>
          <w:lang w:eastAsia="en-US"/>
        </w:rPr>
        <w:t>их маркировки унифицированными контрольными знаками, средствами идентификации и их владельцам</w:t>
      </w:r>
    </w:p>
    <w:p w14:paraId="7F1EF7AD" w14:textId="77777777" w:rsidR="00B42318" w:rsidRDefault="00B42318" w:rsidP="00B423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6210B370" w14:textId="77777777" w:rsidR="00B42318" w:rsidRDefault="00B42318" w:rsidP="00B42318">
      <w:pPr>
        <w:ind w:firstLine="709"/>
        <w:jc w:val="both"/>
        <w:rPr>
          <w:sz w:val="30"/>
          <w:szCs w:val="30"/>
        </w:rPr>
      </w:pPr>
      <w:r w:rsidRPr="00C53D81">
        <w:rPr>
          <w:color w:val="000000"/>
          <w:sz w:val="30"/>
          <w:szCs w:val="30"/>
        </w:rPr>
        <w:t>С 18.02.2024 вступ</w:t>
      </w:r>
      <w:r>
        <w:rPr>
          <w:color w:val="000000"/>
          <w:sz w:val="30"/>
          <w:szCs w:val="30"/>
        </w:rPr>
        <w:t>или</w:t>
      </w:r>
      <w:r w:rsidRPr="00C53D81">
        <w:rPr>
          <w:color w:val="000000"/>
          <w:sz w:val="30"/>
          <w:szCs w:val="30"/>
        </w:rPr>
        <w:t xml:space="preserve"> в силу требования, установленные постановлением </w:t>
      </w:r>
      <w:r w:rsidRPr="00C53D81">
        <w:rPr>
          <w:sz w:val="30"/>
          <w:szCs w:val="30"/>
        </w:rPr>
        <w:t xml:space="preserve">Министерства по налогам и сборам Республики Беларусь от 07.06.2023 № 23 «Об изменении постановления Министерства по налогам и сборам Республики Беларусь от 3 мая 2021 г. № 17» </w:t>
      </w:r>
      <w:r>
        <w:rPr>
          <w:sz w:val="30"/>
          <w:szCs w:val="30"/>
        </w:rPr>
        <w:br/>
      </w:r>
      <w:r w:rsidRPr="00C53D81">
        <w:rPr>
          <w:sz w:val="30"/>
          <w:szCs w:val="30"/>
        </w:rPr>
        <w:t>(далее – постановление № 23, постановление № 17)</w:t>
      </w:r>
      <w:r>
        <w:rPr>
          <w:sz w:val="30"/>
          <w:szCs w:val="30"/>
        </w:rPr>
        <w:t>:</w:t>
      </w:r>
    </w:p>
    <w:p w14:paraId="35C0B8D0" w14:textId="77777777" w:rsidR="00B42318" w:rsidRDefault="00B42318" w:rsidP="00B42318">
      <w:pPr>
        <w:ind w:firstLine="709"/>
        <w:jc w:val="both"/>
        <w:rPr>
          <w:spacing w:val="-4"/>
          <w:sz w:val="30"/>
          <w:szCs w:val="30"/>
        </w:rPr>
      </w:pPr>
      <w:r w:rsidRPr="009F32FB">
        <w:rPr>
          <w:sz w:val="30"/>
          <w:szCs w:val="30"/>
        </w:rPr>
        <w:t xml:space="preserve">обязанность </w:t>
      </w:r>
      <w:r w:rsidRPr="009F32FB">
        <w:rPr>
          <w:spacing w:val="-4"/>
          <w:sz w:val="30"/>
          <w:szCs w:val="30"/>
        </w:rPr>
        <w:t xml:space="preserve">осуществления предпринимательской деятельности в течение двенадцати месяцев подряд, </w:t>
      </w:r>
      <w:proofErr w:type="gramStart"/>
      <w:r w:rsidRPr="009F32FB">
        <w:rPr>
          <w:spacing w:val="-4"/>
          <w:sz w:val="30"/>
          <w:szCs w:val="30"/>
        </w:rPr>
        <w:t>т.е.</w:t>
      </w:r>
      <w:proofErr w:type="gramEnd"/>
      <w:r w:rsidRPr="009F32FB">
        <w:rPr>
          <w:spacing w:val="-4"/>
          <w:sz w:val="30"/>
          <w:szCs w:val="30"/>
        </w:rPr>
        <w:t xml:space="preserve"> субъект хозяйствования не должен быть от</w:t>
      </w:r>
      <w:r>
        <w:rPr>
          <w:spacing w:val="-4"/>
          <w:sz w:val="30"/>
          <w:szCs w:val="30"/>
        </w:rPr>
        <w:t>несен к неактивным плательщикам.</w:t>
      </w:r>
    </w:p>
    <w:p w14:paraId="3D7ED755" w14:textId="77777777" w:rsidR="00B42318" w:rsidRDefault="00B42318" w:rsidP="00B42318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proofErr w:type="spellStart"/>
      <w:r w:rsidRPr="00C34DC8">
        <w:rPr>
          <w:i/>
          <w:iCs/>
          <w:sz w:val="30"/>
          <w:szCs w:val="30"/>
        </w:rPr>
        <w:t>Справочно</w:t>
      </w:r>
      <w:proofErr w:type="spellEnd"/>
      <w:r w:rsidRPr="00C34DC8">
        <w:rPr>
          <w:i/>
          <w:iCs/>
          <w:sz w:val="30"/>
          <w:szCs w:val="30"/>
        </w:rPr>
        <w:t xml:space="preserve">. </w:t>
      </w:r>
      <w:r w:rsidRPr="00C34DC8">
        <w:rPr>
          <w:i/>
          <w:sz w:val="30"/>
          <w:szCs w:val="30"/>
        </w:rPr>
        <w:t>Инструкция о порядке отнесения организаций и индивидуальных предпринимателей к неактивным плательщикам</w:t>
      </w:r>
      <w:r w:rsidRPr="00C34DC8">
        <w:rPr>
          <w:i/>
          <w:iCs/>
          <w:sz w:val="30"/>
          <w:szCs w:val="30"/>
        </w:rPr>
        <w:t xml:space="preserve"> утверждена постановлением МНС от 15.05.2023 №</w:t>
      </w:r>
      <w:r>
        <w:rPr>
          <w:i/>
          <w:iCs/>
          <w:sz w:val="30"/>
          <w:szCs w:val="30"/>
        </w:rPr>
        <w:t xml:space="preserve"> </w:t>
      </w:r>
      <w:r w:rsidRPr="00C34DC8">
        <w:rPr>
          <w:i/>
          <w:iCs/>
          <w:sz w:val="30"/>
          <w:szCs w:val="30"/>
        </w:rPr>
        <w:t>19</w:t>
      </w:r>
      <w:r>
        <w:rPr>
          <w:i/>
          <w:iCs/>
          <w:sz w:val="30"/>
          <w:szCs w:val="30"/>
        </w:rPr>
        <w:t>. Информация об отнесении к неактивным плательщикам размещена на официальном сайте МНС в сервисе «Сведения из Государственного реестра плательщиков (иных обязанных лиц)»;</w:t>
      </w:r>
    </w:p>
    <w:p w14:paraId="4617B491" w14:textId="77777777" w:rsidR="00B42318" w:rsidRPr="005107AE" w:rsidRDefault="00B42318" w:rsidP="00B42318">
      <w:pPr>
        <w:jc w:val="both"/>
        <w:rPr>
          <w:b/>
          <w:spacing w:val="-4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8C1510" wp14:editId="5D10CF44">
                <wp:simplePos x="0" y="0"/>
                <wp:positionH relativeFrom="margin">
                  <wp:align>left</wp:align>
                </wp:positionH>
                <wp:positionV relativeFrom="paragraph">
                  <wp:posOffset>1258773</wp:posOffset>
                </wp:positionV>
                <wp:extent cx="6211019" cy="698739"/>
                <wp:effectExtent l="0" t="19050" r="37465" b="4445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019" cy="698739"/>
                          <a:chOff x="0" y="0"/>
                          <a:chExt cx="5546784" cy="612475"/>
                        </a:xfrm>
                      </wpg:grpSpPr>
                      <wps:wsp>
                        <wps:cNvPr id="4" name="Овал 4"/>
                        <wps:cNvSpPr/>
                        <wps:spPr>
                          <a:xfrm>
                            <a:off x="4744528" y="0"/>
                            <a:ext cx="802256" cy="61247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0" y="362309"/>
                            <a:ext cx="4123378" cy="1897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4467B" id="Группа 6" o:spid="_x0000_s1026" style="position:absolute;margin-left:0;margin-top:99.1pt;width:489.05pt;height:55pt;z-index:251659264;mso-position-horizontal:left;mso-position-horizontal-relative:margin;mso-width-relative:margin;mso-height-relative:margin" coordsize="55467,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">
                <v:oval id="Овал 4" o:spid="_x0000_s1027" style="position:absolute;left:47445;width:8022;height:6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" filled="f" strokecolor="red" strokeweight="4.5pt">
                  <v:stroke joinstyle="miter"/>
                </v:oval>
                <v:rect id="Прямоугольник 5" o:spid="_x0000_s1028" style="position:absolute;top:3623;width:41233;height:1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iQvgAAANoAAAAPAAAAZHJzL2Rvd25yZXYueG1sRI/disIw&#10;EIXvBd8hjOCdTRV0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EJNeJC+AAAA2gAAAA8AAAAAAAAA&#10;AAAAAAAABwIAAGRycy9kb3ducmV2LnhtbFBLBQYAAAAAAwADALcAAADyAgAAAAA=&#10;" fillcolor="#5b9bd5 [3204]" strokecolor="#1f4d78 [1604]" strokeweight="1pt"/>
                <w10:wrap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8EC5657" wp14:editId="4DB9445C">
            <wp:extent cx="6236898" cy="197671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952" t="7017" b="56893"/>
                    <a:stretch/>
                  </pic:blipFill>
                  <pic:spPr bwMode="auto">
                    <a:xfrm>
                      <a:off x="0" y="0"/>
                      <a:ext cx="6276163" cy="1989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6EC9B" w14:textId="77777777" w:rsidR="00B42318" w:rsidRDefault="00B42318" w:rsidP="00B42318">
      <w:pPr>
        <w:ind w:firstLine="709"/>
        <w:jc w:val="both"/>
        <w:rPr>
          <w:spacing w:val="-4"/>
          <w:sz w:val="30"/>
          <w:szCs w:val="30"/>
        </w:rPr>
      </w:pPr>
      <w:r w:rsidRPr="0049290C">
        <w:rPr>
          <w:spacing w:val="-4"/>
          <w:sz w:val="30"/>
          <w:szCs w:val="30"/>
        </w:rPr>
        <w:t>отсутствие задолженности по налогам, сборам (пошлинам), иным обязательным платежам в республиканский и местные бюджеты на 1-е число месяца, следующего за отчетным</w:t>
      </w:r>
      <w:bookmarkStart w:id="0" w:name="_Hlk133567879"/>
      <w:bookmarkStart w:id="1" w:name="_Hlk133567988"/>
      <w:r>
        <w:rPr>
          <w:spacing w:val="-4"/>
          <w:sz w:val="30"/>
          <w:szCs w:val="30"/>
        </w:rPr>
        <w:t>;</w:t>
      </w:r>
    </w:p>
    <w:p w14:paraId="6B5FA62F" w14:textId="77777777" w:rsidR="00B42318" w:rsidRPr="001119FB" w:rsidRDefault="00B42318" w:rsidP="00B42318">
      <w:pPr>
        <w:ind w:firstLine="709"/>
        <w:jc w:val="both"/>
        <w:rPr>
          <w:spacing w:val="-4"/>
          <w:sz w:val="30"/>
          <w:szCs w:val="30"/>
        </w:rPr>
      </w:pPr>
      <w:r w:rsidRPr="001119FB">
        <w:rPr>
          <w:spacing w:val="-4"/>
          <w:sz w:val="30"/>
          <w:szCs w:val="30"/>
        </w:rPr>
        <w:t xml:space="preserve">не привлечение к </w:t>
      </w:r>
      <w:bookmarkEnd w:id="0"/>
      <w:r w:rsidRPr="001119FB">
        <w:rPr>
          <w:spacing w:val="-4"/>
          <w:sz w:val="30"/>
          <w:szCs w:val="30"/>
        </w:rPr>
        <w:t>административной ответственности в области предпринимательской деятельности и (или) против порядка налогообложения</w:t>
      </w:r>
      <w:bookmarkEnd w:id="1"/>
      <w:r>
        <w:rPr>
          <w:spacing w:val="-4"/>
          <w:sz w:val="30"/>
          <w:szCs w:val="30"/>
        </w:rPr>
        <w:t xml:space="preserve">. </w:t>
      </w:r>
      <w:r>
        <w:rPr>
          <w:rFonts w:eastAsiaTheme="minorHAnsi"/>
          <w:sz w:val="30"/>
          <w:szCs w:val="30"/>
          <w:lang w:eastAsia="en-US"/>
        </w:rPr>
        <w:t xml:space="preserve">При этом не привлеченными к административной ответственности считаются лица, освобожденные от административной ответственности по основаниям, предусмотренным Кодексом Республики Беларусь об административных правонарушениях, а также лица, которые считаются не подвергавшимися административному взысканию за совершенное административное правонарушение в соответствии со </w:t>
      </w:r>
      <w:hyperlink r:id="rId8" w:history="1">
        <w:r w:rsidRPr="001119FB">
          <w:rPr>
            <w:rFonts w:eastAsiaTheme="minorHAnsi"/>
            <w:sz w:val="30"/>
            <w:szCs w:val="30"/>
            <w:lang w:eastAsia="en-US"/>
          </w:rPr>
          <w:t>статьей 4.9</w:t>
        </w:r>
      </w:hyperlink>
      <w:r>
        <w:rPr>
          <w:rFonts w:eastAsiaTheme="minorHAnsi"/>
          <w:sz w:val="30"/>
          <w:szCs w:val="30"/>
          <w:lang w:eastAsia="en-US"/>
        </w:rPr>
        <w:t xml:space="preserve"> Кодекса Республики Беларусь об административных правонарушениях;</w:t>
      </w:r>
    </w:p>
    <w:p w14:paraId="4F775BE6" w14:textId="77777777" w:rsidR="00B42318" w:rsidRPr="009F32FB" w:rsidRDefault="00B42318" w:rsidP="00B4231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F32FB">
        <w:rPr>
          <w:spacing w:val="-4"/>
          <w:sz w:val="30"/>
          <w:szCs w:val="30"/>
        </w:rPr>
        <w:t>присоединение к Соглашению</w:t>
      </w:r>
      <w:r w:rsidRPr="00E76944">
        <w:rPr>
          <w:rFonts w:eastAsia="Calibri"/>
          <w:bCs/>
          <w:sz w:val="30"/>
          <w:szCs w:val="30"/>
        </w:rPr>
        <w:t xml:space="preserve"> </w:t>
      </w:r>
      <w:r w:rsidRPr="005B1C1D">
        <w:rPr>
          <w:rFonts w:eastAsia="Calibri"/>
          <w:bCs/>
          <w:sz w:val="30"/>
          <w:szCs w:val="30"/>
        </w:rPr>
        <w:t xml:space="preserve">о сотрудничестве и взаимодействии в сфере контроля за оборотом товаров, подлежащих маркировке </w:t>
      </w:r>
      <w:r w:rsidRPr="005B1C1D">
        <w:rPr>
          <w:rFonts w:eastAsia="Calibri"/>
          <w:bCs/>
          <w:sz w:val="30"/>
          <w:szCs w:val="30"/>
        </w:rPr>
        <w:lastRenderedPageBreak/>
        <w:t>унифицированными контрольными знаками или средствами идентификации (далее – Соглашение)</w:t>
      </w:r>
      <w:r w:rsidRPr="009F32FB">
        <w:rPr>
          <w:sz w:val="30"/>
          <w:szCs w:val="30"/>
        </w:rPr>
        <w:t>;</w:t>
      </w:r>
    </w:p>
    <w:p w14:paraId="310D6617" w14:textId="77777777" w:rsidR="00B42318" w:rsidRPr="001119FB" w:rsidRDefault="00B42318" w:rsidP="00B4231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30"/>
          <w:szCs w:val="30"/>
        </w:rPr>
      </w:pPr>
      <w:r w:rsidRPr="001119FB">
        <w:rPr>
          <w:rFonts w:eastAsia="Calibri"/>
          <w:bCs/>
          <w:sz w:val="30"/>
          <w:szCs w:val="30"/>
        </w:rPr>
        <w:t>уполномоченный склад должен принадлежать владельцу на праве собственности, хозяйственного ведения или оперативного управления.</w:t>
      </w:r>
    </w:p>
    <w:p w14:paraId="6A124A88" w14:textId="77777777" w:rsidR="00B42318" w:rsidRDefault="00B42318" w:rsidP="00B42318">
      <w:pPr>
        <w:ind w:firstLine="709"/>
        <w:jc w:val="both"/>
        <w:rPr>
          <w:b/>
          <w:bCs/>
          <w:sz w:val="30"/>
          <w:szCs w:val="30"/>
        </w:rPr>
      </w:pPr>
      <w:r w:rsidRPr="001119FB">
        <w:rPr>
          <w:b/>
          <w:sz w:val="30"/>
          <w:szCs w:val="30"/>
        </w:rPr>
        <w:t>Соблюдение в совокупности</w:t>
      </w:r>
      <w:r>
        <w:rPr>
          <w:sz w:val="30"/>
          <w:szCs w:val="30"/>
        </w:rPr>
        <w:t xml:space="preserve"> всех </w:t>
      </w:r>
      <w:r w:rsidRPr="00C53D81">
        <w:rPr>
          <w:sz w:val="30"/>
          <w:szCs w:val="30"/>
        </w:rPr>
        <w:t>требовани</w:t>
      </w:r>
      <w:r>
        <w:rPr>
          <w:sz w:val="30"/>
          <w:szCs w:val="30"/>
        </w:rPr>
        <w:t>й</w:t>
      </w:r>
      <w:r w:rsidRPr="00C53D81">
        <w:rPr>
          <w:sz w:val="30"/>
          <w:szCs w:val="30"/>
        </w:rPr>
        <w:t xml:space="preserve"> </w:t>
      </w:r>
      <w:r w:rsidRPr="00C53D81">
        <w:rPr>
          <w:b/>
          <w:bCs/>
          <w:sz w:val="30"/>
          <w:szCs w:val="30"/>
        </w:rPr>
        <w:t>является основаниями</w:t>
      </w:r>
      <w:r w:rsidRPr="00C53D81">
        <w:rPr>
          <w:sz w:val="30"/>
          <w:szCs w:val="30"/>
        </w:rPr>
        <w:t xml:space="preserve"> для включения склада в перечень уполномоченных складов, а также </w:t>
      </w:r>
      <w:r w:rsidRPr="00C53D81">
        <w:rPr>
          <w:b/>
          <w:bCs/>
          <w:sz w:val="30"/>
          <w:szCs w:val="30"/>
        </w:rPr>
        <w:t>его нахождения в указанном перечне.</w:t>
      </w:r>
    </w:p>
    <w:p w14:paraId="5AC23CDD" w14:textId="77777777" w:rsidR="00B42318" w:rsidRPr="001119FB" w:rsidRDefault="00B42318" w:rsidP="00B42318">
      <w:pPr>
        <w:ind w:firstLine="709"/>
        <w:jc w:val="both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изложенное, всем субъектам хозяйствования-владельцам уполномоченных складов рекомендуется организовать работу по соответствию вышеуказанным требованиям по состоянию на 18.02.2024. </w:t>
      </w:r>
      <w:r w:rsidRPr="001119FB">
        <w:rPr>
          <w:b/>
          <w:bCs/>
          <w:sz w:val="30"/>
          <w:szCs w:val="30"/>
        </w:rPr>
        <w:t>Особое внимание предлагается обратить на требования о заключении Соглашения и принадлежности уполномоченного склада его</w:t>
      </w:r>
      <w:r w:rsidRPr="001119FB">
        <w:rPr>
          <w:b/>
          <w:spacing w:val="-4"/>
          <w:sz w:val="30"/>
          <w:szCs w:val="30"/>
        </w:rPr>
        <w:t xml:space="preserve"> владельцу на праве собственности, хозяйственного ведения или оперативного управления.</w:t>
      </w:r>
    </w:p>
    <w:p w14:paraId="68A5D4FB" w14:textId="77777777" w:rsidR="00B42318" w:rsidRPr="009B230D" w:rsidRDefault="00B42318" w:rsidP="00B4231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т</w:t>
      </w:r>
      <w:r w:rsidRPr="00805DAF">
        <w:rPr>
          <w:sz w:val="30"/>
          <w:szCs w:val="30"/>
        </w:rPr>
        <w:t>екст</w:t>
      </w:r>
      <w:r>
        <w:rPr>
          <w:sz w:val="30"/>
          <w:szCs w:val="30"/>
        </w:rPr>
        <w:t>ом</w:t>
      </w:r>
      <w:r w:rsidRPr="00805DAF">
        <w:rPr>
          <w:sz w:val="30"/>
          <w:szCs w:val="30"/>
        </w:rPr>
        <w:t xml:space="preserve"> Соглашения и Заявления о присоединении к нему возможно </w:t>
      </w:r>
      <w:r>
        <w:rPr>
          <w:sz w:val="30"/>
          <w:szCs w:val="30"/>
        </w:rPr>
        <w:t xml:space="preserve">ознакомится по адресу: </w:t>
      </w:r>
      <w:hyperlink r:id="rId9" w:history="1">
        <w:r w:rsidRPr="00C66886">
          <w:rPr>
            <w:rStyle w:val="a3"/>
            <w:sz w:val="30"/>
            <w:szCs w:val="30"/>
          </w:rPr>
          <w:t>https://nalog.gov.by/tax_control/</w:t>
        </w:r>
        <w:r w:rsidRPr="00C66886">
          <w:rPr>
            <w:rStyle w:val="a3"/>
            <w:sz w:val="30"/>
            <w:szCs w:val="30"/>
          </w:rPr>
          <w:t>c</w:t>
        </w:r>
        <w:r w:rsidRPr="00C66886">
          <w:rPr>
            <w:rStyle w:val="a3"/>
            <w:sz w:val="30"/>
            <w:szCs w:val="30"/>
          </w:rPr>
          <w:t>ontrol_of_goods/marking/valid_from_08072021/warehouses/</w:t>
        </w:r>
      </w:hyperlink>
      <w:r>
        <w:rPr>
          <w:sz w:val="30"/>
          <w:szCs w:val="30"/>
        </w:rPr>
        <w:t xml:space="preserve">. </w:t>
      </w:r>
    </w:p>
    <w:p w14:paraId="3CE89433" w14:textId="77777777" w:rsidR="00B42318" w:rsidRPr="00C53D81" w:rsidRDefault="00B42318" w:rsidP="00B42318">
      <w:pPr>
        <w:ind w:firstLine="709"/>
        <w:jc w:val="both"/>
        <w:rPr>
          <w:sz w:val="30"/>
          <w:szCs w:val="30"/>
        </w:rPr>
      </w:pPr>
      <w:r w:rsidRPr="00C53D81">
        <w:rPr>
          <w:sz w:val="30"/>
          <w:szCs w:val="30"/>
        </w:rPr>
        <w:t>Соглашение предусматривает, в том числе, следующие обязанности владельца уполномоченного склада:</w:t>
      </w:r>
    </w:p>
    <w:p w14:paraId="418A3B66" w14:textId="77777777" w:rsidR="00B42318" w:rsidRPr="00C53D81" w:rsidRDefault="00B42318" w:rsidP="00B42318">
      <w:pPr>
        <w:ind w:firstLine="709"/>
        <w:jc w:val="both"/>
        <w:rPr>
          <w:sz w:val="30"/>
          <w:szCs w:val="30"/>
        </w:rPr>
      </w:pPr>
      <w:r w:rsidRPr="00C53D81">
        <w:rPr>
          <w:sz w:val="30"/>
          <w:szCs w:val="30"/>
        </w:rPr>
        <w:t>представление в МНС информации о заключении или расторжении договора с субъектом хозяйствования на пользование уполномоченным складом;</w:t>
      </w:r>
    </w:p>
    <w:p w14:paraId="6F158DD8" w14:textId="77777777" w:rsidR="00B42318" w:rsidRPr="00C53D81" w:rsidRDefault="00B42318" w:rsidP="00B42318">
      <w:pPr>
        <w:ind w:firstLine="709"/>
        <w:jc w:val="both"/>
        <w:rPr>
          <w:sz w:val="30"/>
          <w:szCs w:val="30"/>
        </w:rPr>
      </w:pPr>
      <w:r w:rsidRPr="00C53D81">
        <w:rPr>
          <w:sz w:val="30"/>
          <w:szCs w:val="30"/>
        </w:rPr>
        <w:t xml:space="preserve">предоставление в МНС по письменному запросу МНС (его территориального органа, согласованному МНС) информации и (или) документов, необходимых для проведения контрольно-аналитических мероприятий в целях недопущения вовлечения в нелегальный оборот товаров, а также для контроля за правильностью исчисления, своевременностью и полнотой уплаты налогов, сборов (пошлин), пеней, иных обязательных платежей в республиканский и местные бюджеты в отношении субъектов хозяйствования, осуществляющих хранение подлежащих маркировке товаров; </w:t>
      </w:r>
    </w:p>
    <w:p w14:paraId="28EF96D9" w14:textId="77777777" w:rsidR="00B42318" w:rsidRPr="00C53D81" w:rsidRDefault="00B42318" w:rsidP="00B42318">
      <w:pPr>
        <w:ind w:firstLine="709"/>
        <w:jc w:val="both"/>
        <w:rPr>
          <w:sz w:val="30"/>
          <w:szCs w:val="30"/>
        </w:rPr>
      </w:pPr>
      <w:r w:rsidRPr="00C53D81">
        <w:rPr>
          <w:sz w:val="30"/>
          <w:szCs w:val="30"/>
        </w:rPr>
        <w:t>предоставление сотрудникам МНС (его территориальных органов) в соответствии со служебным удостоверением и письмом (предписанием, требованием и т.п.), подписанным Министром (заместителем Министра), руководителем (заместителем руководителя) соответствующего налогового органа, доступа на территорию уполномоченных складов, а также к информационным системам учета и движения складской продукции в отношении товаров, размещенных на территории уполномоченных складов.</w:t>
      </w:r>
    </w:p>
    <w:p w14:paraId="253A1220" w14:textId="77777777" w:rsidR="00B42318" w:rsidRDefault="00B42318" w:rsidP="00B4231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C53D81">
        <w:rPr>
          <w:sz w:val="30"/>
          <w:szCs w:val="30"/>
        </w:rPr>
        <w:t xml:space="preserve">ладельцы уполномоченных складов, не присоединившиеся к Соглашению до 18.02.2024, а также которые не будут после 18.02.2024 </w:t>
      </w:r>
      <w:r w:rsidRPr="00C53D81">
        <w:rPr>
          <w:sz w:val="30"/>
          <w:szCs w:val="30"/>
        </w:rPr>
        <w:lastRenderedPageBreak/>
        <w:t>соответствовать всем требованиям, установленным постановлением № 17, подлежат исключению из перечня уполномоченных складов.</w:t>
      </w:r>
    </w:p>
    <w:p w14:paraId="3FD61FBB" w14:textId="77777777" w:rsidR="00B42318" w:rsidRDefault="00B42318"/>
    <w:sectPr w:rsidR="00B42318" w:rsidSect="00B42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CAB5" w14:textId="77777777" w:rsidR="00380564" w:rsidRDefault="00380564" w:rsidP="001A2389">
      <w:r>
        <w:separator/>
      </w:r>
    </w:p>
  </w:endnote>
  <w:endnote w:type="continuationSeparator" w:id="0">
    <w:p w14:paraId="236315AD" w14:textId="77777777" w:rsidR="00380564" w:rsidRDefault="00380564" w:rsidP="001A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8D06" w14:textId="77777777" w:rsidR="001A2389" w:rsidRDefault="001A23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7C7E" w14:textId="77777777" w:rsidR="001A2389" w:rsidRDefault="001A23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4CDF" w14:textId="77777777" w:rsidR="001A2389" w:rsidRDefault="001A23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47AF" w14:textId="77777777" w:rsidR="00380564" w:rsidRDefault="00380564" w:rsidP="001A2389">
      <w:r>
        <w:separator/>
      </w:r>
    </w:p>
  </w:footnote>
  <w:footnote w:type="continuationSeparator" w:id="0">
    <w:p w14:paraId="5D959EC3" w14:textId="77777777" w:rsidR="00380564" w:rsidRDefault="00380564" w:rsidP="001A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14C5" w14:textId="77777777" w:rsidR="001A2389" w:rsidRDefault="001A23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486A" w14:textId="77777777" w:rsidR="001A2389" w:rsidRDefault="001A23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7613" w14:textId="77777777" w:rsidR="001A2389" w:rsidRDefault="001A23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82C4B"/>
    <w:multiLevelType w:val="multilevel"/>
    <w:tmpl w:val="D828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07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1A"/>
    <w:rsid w:val="00037A6D"/>
    <w:rsid w:val="000B1486"/>
    <w:rsid w:val="001A2389"/>
    <w:rsid w:val="00380564"/>
    <w:rsid w:val="00456C8D"/>
    <w:rsid w:val="005337AA"/>
    <w:rsid w:val="00611BA4"/>
    <w:rsid w:val="00826FD4"/>
    <w:rsid w:val="00980899"/>
    <w:rsid w:val="00B42318"/>
    <w:rsid w:val="00D40C1F"/>
    <w:rsid w:val="00EC7C97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E1547"/>
  <w15:chartTrackingRefBased/>
  <w15:docId w15:val="{DCA97656-3D8B-421D-99A7-D0895359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FB741A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ConsPlusNormal">
    <w:name w:val="ConsPlusNormal"/>
    <w:rsid w:val="00FB7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B741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2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A2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3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1A2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7C760E475A2D2E4CF74D3A5A3679BB9F5DE6C6BD4181E30FDC9BE0EB1ACCF40C376078A89208B0AC4F8E172FA7715398DF620EF48A415FF94AFDA53Q5h6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log.gov.by/tax_control/control_of_goods/marking/valid_from_08072021/warehous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Шикуть Виктория Алексеевна</cp:lastModifiedBy>
  <cp:revision>5</cp:revision>
  <dcterms:created xsi:type="dcterms:W3CDTF">2024-04-03T11:22:00Z</dcterms:created>
  <dcterms:modified xsi:type="dcterms:W3CDTF">2024-04-03T11:59:00Z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