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6352B" w14:textId="4F920A49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/>
          <w:kern w:val="0"/>
          <w:sz w:val="24"/>
          <w:szCs w:val="30"/>
          <w:lang w:eastAsia="ru-RU"/>
        </w:rPr>
      </w:pPr>
      <w:r w:rsidRPr="00261AEF">
        <w:rPr>
          <w:rFonts w:ascii="Arial" w:eastAsia="Times New Roman" w:hAnsi="Arial"/>
          <w:b/>
          <w:kern w:val="0"/>
          <w:sz w:val="24"/>
          <w:szCs w:val="30"/>
          <w:lang w:eastAsia="ru-RU"/>
        </w:rPr>
        <w:t xml:space="preserve">КОММЕНТАРИЙ </w:t>
      </w:r>
    </w:p>
    <w:p w14:paraId="58A27EE6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 xml:space="preserve">к постановлению Министерства по налогам и сборам </w:t>
      </w:r>
    </w:p>
    <w:p w14:paraId="6CEB13F2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 xml:space="preserve">Республики Беларусь, Министерства финансов Республики Беларусь, </w:t>
      </w:r>
    </w:p>
    <w:p w14:paraId="11691551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 xml:space="preserve">Министерства труда и социальной защиты Республики Беларусь </w:t>
      </w:r>
    </w:p>
    <w:p w14:paraId="07637535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>и Национального статистического комитета Республики Беларусь</w:t>
      </w:r>
    </w:p>
    <w:p w14:paraId="0D942F40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 xml:space="preserve">от 1 марта 2024 г. № 5/15/13/9 «Об изменении постановления </w:t>
      </w:r>
    </w:p>
    <w:p w14:paraId="08E5582F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 xml:space="preserve">Министерства по налогам и сборам Республики Беларусь, </w:t>
      </w:r>
    </w:p>
    <w:p w14:paraId="6174C3D0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 xml:space="preserve">Министерства финансов Республики Беларусь, </w:t>
      </w:r>
    </w:p>
    <w:p w14:paraId="5788DA01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 xml:space="preserve">Министерства труда и социальной защиты Республики Беларусь </w:t>
      </w:r>
    </w:p>
    <w:p w14:paraId="3820313B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 xml:space="preserve">и Национального статистического комитета Республики Беларусь </w:t>
      </w:r>
    </w:p>
    <w:p w14:paraId="460D683E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bCs/>
          <w:kern w:val="0"/>
          <w:sz w:val="26"/>
          <w:szCs w:val="26"/>
          <w:lang w:eastAsia="ru-RU"/>
        </w:rPr>
      </w:pPr>
      <w:r w:rsidRPr="00261AEF">
        <w:rPr>
          <w:rFonts w:ascii="Arial" w:eastAsia="Times New Roman" w:hAnsi="Arial"/>
          <w:bCs/>
          <w:kern w:val="0"/>
          <w:sz w:val="26"/>
          <w:szCs w:val="26"/>
          <w:lang w:eastAsia="ru-RU"/>
        </w:rPr>
        <w:t>от 28 ноября 2022 г. № 35/54/75/133»</w:t>
      </w:r>
    </w:p>
    <w:p w14:paraId="0B64FB20" w14:textId="77777777" w:rsidR="00206211" w:rsidRPr="00261AEF" w:rsidRDefault="00206211" w:rsidP="00206211">
      <w:pPr>
        <w:widowControl w:val="0"/>
        <w:spacing w:after="0" w:line="240" w:lineRule="auto"/>
        <w:jc w:val="both"/>
        <w:rPr>
          <w:rFonts w:ascii="Arial" w:eastAsia="Times New Roman" w:hAnsi="Arial"/>
          <w:b/>
          <w:kern w:val="0"/>
          <w:sz w:val="24"/>
          <w:szCs w:val="30"/>
          <w:lang w:eastAsia="ru-RU"/>
        </w:rPr>
      </w:pPr>
    </w:p>
    <w:p w14:paraId="3C02C3FB" w14:textId="77777777" w:rsidR="00206211" w:rsidRPr="00261AEF" w:rsidRDefault="00206211" w:rsidP="00206211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/>
          <w:kern w:val="0"/>
          <w:sz w:val="24"/>
          <w:szCs w:val="24"/>
          <w:lang w:eastAsia="ru-RU"/>
        </w:rPr>
      </w:pP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>С</w:t>
      </w:r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 xml:space="preserve"> 17 марта 2024 г. вступило в силу </w:t>
      </w: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>п</w:t>
      </w:r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 xml:space="preserve">остановление </w:t>
      </w:r>
      <w:bookmarkStart w:id="0" w:name="_Hlk125366155"/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>Министерства по налогам и сборам Республики Беларусь, Министерства финансо</w:t>
      </w:r>
      <w:bookmarkStart w:id="1" w:name="_GoBack"/>
      <w:bookmarkEnd w:id="1"/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 xml:space="preserve">в Республики Беларусь, Министерства труда и социальной защиты Республики Беларусь и Национального статистического комитета Республики Беларусь от 1 марта 2024 г. </w:t>
      </w:r>
      <w:bookmarkEnd w:id="0"/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 xml:space="preserve">№ 5/15/13/9 «Об изменении постановления </w:t>
      </w:r>
      <w:bookmarkStart w:id="2" w:name="_Hlk161151037"/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 xml:space="preserve">Министерства по налогам и сборам Республики Беларусь, Министерства финансов Республики Беларусь, Министерства труда и социальной защиты Республики Беларусь и Национального статистического комитета Республики Беларусь от 28 ноября 2022 г. </w:t>
      </w:r>
      <w:bookmarkEnd w:id="2"/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>№ 35/54/75/133» (далее — постановление № 5/15/13/9). Это постановление принято с целью приведения формы книги учета доходов и расходов организаций, применяющих упрощенную систему налогообложения (далее — книга учета доходов и расходов), и порядка ее заполнения в соответствие с положениями:</w:t>
      </w:r>
    </w:p>
    <w:p w14:paraId="5125475A" w14:textId="77777777" w:rsidR="00206211" w:rsidRPr="00261AEF" w:rsidRDefault="00206211" w:rsidP="00206211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/>
          <w:kern w:val="0"/>
          <w:sz w:val="24"/>
          <w:szCs w:val="24"/>
          <w:lang w:eastAsia="ru-RU"/>
        </w:rPr>
      </w:pPr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>Налогового кодекса Республики Беларусь (далее — НК), вступившими в силу с 1 января 2024 г.;</w:t>
      </w:r>
    </w:p>
    <w:p w14:paraId="1E2F395D" w14:textId="77777777" w:rsidR="00206211" w:rsidRPr="00261AEF" w:rsidRDefault="00206211" w:rsidP="002062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/>
          <w:kern w:val="0"/>
          <w:sz w:val="24"/>
          <w:szCs w:val="30"/>
          <w:lang w:eastAsia="ru-RU"/>
        </w:rPr>
      </w:pP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 xml:space="preserve">Закона Республики Беларусь от 4 января 2010 г. № 105-3 «О правовом положении иностранных граждан и лиц без гражданства в Республике Беларусь» (далее — </w:t>
      </w:r>
      <w:bookmarkStart w:id="3" w:name="_Hlk159945287"/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>Закон № 105-З</w:t>
      </w:r>
      <w:bookmarkEnd w:id="3"/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>);</w:t>
      </w:r>
    </w:p>
    <w:p w14:paraId="14B86D52" w14:textId="77777777" w:rsidR="00206211" w:rsidRPr="00261AEF" w:rsidRDefault="00206211" w:rsidP="00206211">
      <w:pPr>
        <w:widowControl w:val="0"/>
        <w:spacing w:after="0" w:line="240" w:lineRule="auto"/>
        <w:ind w:firstLine="284"/>
        <w:contextualSpacing/>
        <w:jc w:val="both"/>
        <w:rPr>
          <w:rFonts w:ascii="Arial" w:hAnsi="Arial"/>
          <w:kern w:val="0"/>
          <w:sz w:val="24"/>
          <w:szCs w:val="30"/>
        </w:rPr>
      </w:pPr>
      <w:r w:rsidRPr="00261AEF">
        <w:rPr>
          <w:rFonts w:ascii="Arial" w:hAnsi="Arial"/>
          <w:kern w:val="0"/>
          <w:sz w:val="24"/>
          <w:szCs w:val="30"/>
        </w:rPr>
        <w:t>постановления Министерства по налогам и сборам Республики Беларусь от 15 ноября 2021 г. № 35 «О формах и перечне сведений» (далее — постановление № 35);</w:t>
      </w:r>
    </w:p>
    <w:p w14:paraId="02468FAD" w14:textId="77777777" w:rsidR="00206211" w:rsidRPr="00261AEF" w:rsidRDefault="00206211" w:rsidP="00206211">
      <w:pPr>
        <w:widowControl w:val="0"/>
        <w:spacing w:after="0" w:line="240" w:lineRule="auto"/>
        <w:ind w:firstLine="284"/>
        <w:contextualSpacing/>
        <w:jc w:val="both"/>
        <w:rPr>
          <w:rFonts w:ascii="Arial" w:hAnsi="Arial"/>
          <w:kern w:val="0"/>
          <w:sz w:val="24"/>
          <w:szCs w:val="30"/>
        </w:rPr>
      </w:pPr>
      <w:r w:rsidRPr="00261AEF">
        <w:rPr>
          <w:rFonts w:ascii="Arial" w:hAnsi="Arial"/>
          <w:kern w:val="0"/>
          <w:sz w:val="24"/>
          <w:szCs w:val="30"/>
        </w:rPr>
        <w:t>постановления Министерства по налогам и сборам Республики Беларусь от 3 января 2019 г. № 2 «Об исчислении и уплате налогов, сборов (пошлин), иных платежей» (далее — постановление № 2).</w:t>
      </w:r>
    </w:p>
    <w:p w14:paraId="68028BC1" w14:textId="77777777" w:rsidR="00206211" w:rsidRPr="00261AEF" w:rsidRDefault="00206211" w:rsidP="002062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/>
          <w:kern w:val="0"/>
          <w:sz w:val="24"/>
          <w:szCs w:val="30"/>
          <w:lang w:eastAsia="ru-RU"/>
        </w:rPr>
      </w:pP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 xml:space="preserve">Так, с учетом сведений о доходах физических лиц, отражаемых в приложении 9 к постановлению № 35, а также терминов, используемых в Законе № 105-3, внесены корректировки в пункт 1 раздела </w:t>
      </w:r>
      <w:r w:rsidRPr="00261AEF">
        <w:rPr>
          <w:rFonts w:ascii="Arial" w:eastAsia="Times New Roman" w:hAnsi="Arial"/>
          <w:kern w:val="0"/>
          <w:sz w:val="24"/>
          <w:szCs w:val="30"/>
          <w:lang w:val="en-US" w:eastAsia="ru-RU"/>
        </w:rPr>
        <w:t>II</w:t>
      </w: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 xml:space="preserve"> книги учета доходов и расходов, а также в </w:t>
      </w:r>
      <w:r w:rsidRPr="00261AEF">
        <w:rPr>
          <w:rFonts w:ascii="Arial" w:hAnsi="Arial"/>
          <w:kern w:val="0"/>
          <w:sz w:val="24"/>
          <w:szCs w:val="30"/>
        </w:rPr>
        <w:t>подпункт 9.1 пункта 9 Инструкции о порядке заполнения</w:t>
      </w:r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 xml:space="preserve"> книги учета доходов и расходов организаций, применяющих упрощенную систему налогообложения</w:t>
      </w:r>
      <w:r w:rsidRPr="00261AEF">
        <w:rPr>
          <w:rFonts w:ascii="Arial" w:hAnsi="Arial"/>
          <w:kern w:val="0"/>
          <w:sz w:val="24"/>
          <w:szCs w:val="30"/>
        </w:rPr>
        <w:t xml:space="preserve">, утвержденной </w:t>
      </w: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 xml:space="preserve">постановлением </w:t>
      </w:r>
      <w:r w:rsidRPr="00261AEF">
        <w:rPr>
          <w:rFonts w:ascii="Arial" w:eastAsia="Times New Roman" w:hAnsi="Arial"/>
          <w:kern w:val="0"/>
          <w:sz w:val="24"/>
          <w:szCs w:val="24"/>
          <w:lang w:eastAsia="ru-RU"/>
        </w:rPr>
        <w:t xml:space="preserve">Министерства по налогам и сборам Республики Беларусь, Министерства финансов Республики Беларусь, Министерства труда и социальной защиты Республики Беларусь и Национального статистического комитета Республики Беларусь от 28 ноября 2022 г. </w:t>
      </w: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>№ 35/54/75/133 (далее — Инструкция).</w:t>
      </w:r>
    </w:p>
    <w:p w14:paraId="44B855E3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iCs/>
          <w:kern w:val="0"/>
          <w:sz w:val="24"/>
          <w:szCs w:val="30"/>
          <w:lang w:eastAsia="ru-RU"/>
        </w:rPr>
      </w:pP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>Учитывая, что с 2024 года из пункта 2 статьи 229 НК исключен подпункт 2.1</w:t>
      </w: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 xml:space="preserve">, касающийся определения </w:t>
      </w:r>
      <w:r w:rsidRPr="00261AEF">
        <w:rPr>
          <w:rFonts w:ascii="Arial" w:eastAsia="Times New Roman" w:hAnsi="Arial"/>
          <w:iCs/>
          <w:kern w:val="0"/>
          <w:sz w:val="24"/>
          <w:szCs w:val="20"/>
          <w:lang w:eastAsia="ru-RU"/>
        </w:rPr>
        <w:t xml:space="preserve">стоимости капитальных строений (зданий, сооружений), их частей </w:t>
      </w: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>исходя из их оценки по оценочной стоимости</w:t>
      </w:r>
      <w:r w:rsidRPr="00261AEF">
        <w:rPr>
          <w:rFonts w:ascii="Arial" w:eastAsia="Times New Roman" w:hAnsi="Arial"/>
          <w:kern w:val="0"/>
          <w:sz w:val="24"/>
          <w:szCs w:val="30"/>
          <w:shd w:val="clear" w:color="auto" w:fill="FFFFFF"/>
          <w:lang w:eastAsia="ru-RU"/>
        </w:rPr>
        <w:t xml:space="preserve"> на 1 января текущего года</w:t>
      </w: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>, из р</w:t>
      </w: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>аздела IV книги учета доходов и расходов исключена графа, в которой отражалась оценочная стоимость, одновременно из Инструкции исключен п</w:t>
      </w: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>одпункт 12.6 пункта 12, определявший порядок заполнения этой графы.</w:t>
      </w:r>
    </w:p>
    <w:p w14:paraId="6EC3D016" w14:textId="46CDCCA7" w:rsidR="00206211" w:rsidRPr="00261AEF" w:rsidRDefault="00206211" w:rsidP="002062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/>
          <w:bCs/>
          <w:sz w:val="24"/>
          <w:szCs w:val="30"/>
        </w:rPr>
      </w:pPr>
      <w:r w:rsidRPr="00261AEF">
        <w:rPr>
          <w:rFonts w:ascii="Arial" w:hAnsi="Arial"/>
          <w:bCs/>
          <w:sz w:val="24"/>
          <w:szCs w:val="30"/>
        </w:rPr>
        <w:t xml:space="preserve">Уточняющие правки, внесенные в название графы 7 части I раздела V книги учета доходов и расходов, в подпункты 16.4 и 16.6 пункта 16, в подпункт 18.9 пункта 18 Инструкции, обусловлены разделением формы налоговой декларации (расчета) по НДС на две самостоятельные налоговые декларации (расчета): налоговая </w:t>
      </w:r>
      <w:r w:rsidRPr="00261AEF">
        <w:rPr>
          <w:rFonts w:ascii="Arial" w:hAnsi="Arial"/>
          <w:bCs/>
          <w:sz w:val="24"/>
          <w:szCs w:val="30"/>
        </w:rPr>
        <w:lastRenderedPageBreak/>
        <w:t>декларация (расчет) по НДС и налоговая декларация (расчет) по НДС при ввозе товаров на территорию Республики Беларусь с территории государств — членов Евразийского экономического союза (подпункт 1.1 пункта 1 постановления № 2, приложения 1 и 1</w:t>
      </w:r>
      <w:r w:rsidRPr="00261AEF">
        <w:rPr>
          <w:rFonts w:ascii="Arial" w:hAnsi="Arial"/>
          <w:bCs/>
          <w:sz w:val="24"/>
          <w:szCs w:val="30"/>
          <w:vertAlign w:val="superscript"/>
        </w:rPr>
        <w:t xml:space="preserve">1 </w:t>
      </w:r>
      <w:r w:rsidRPr="00261AEF">
        <w:rPr>
          <w:rFonts w:ascii="Arial" w:hAnsi="Arial"/>
          <w:bCs/>
          <w:sz w:val="24"/>
          <w:szCs w:val="30"/>
        </w:rPr>
        <w:t>к постановлению № 2).</w:t>
      </w:r>
    </w:p>
    <w:p w14:paraId="6912C809" w14:textId="77777777" w:rsidR="00206211" w:rsidRPr="00261AEF" w:rsidRDefault="00206211" w:rsidP="002062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/>
          <w:bCs/>
          <w:sz w:val="24"/>
          <w:szCs w:val="30"/>
        </w:rPr>
      </w:pPr>
      <w:r w:rsidRPr="00261AEF">
        <w:rPr>
          <w:rFonts w:ascii="Arial" w:hAnsi="Arial"/>
          <w:bCs/>
          <w:sz w:val="24"/>
          <w:szCs w:val="30"/>
        </w:rPr>
        <w:t>В пункт 5 Инструкции внесена уточняющая правка, так как согласно подпункту 6.4 пункта 6 Инструкции хозяйственные операции, проводимые через кассовое оборудование, отражаются в книге учета доходов и расходов не по отдельности, а общей суммой на конец календарного месяца, к которому они относятся.</w:t>
      </w:r>
    </w:p>
    <w:p w14:paraId="1090FEC7" w14:textId="77777777" w:rsidR="00206211" w:rsidRPr="00261AEF" w:rsidRDefault="00206211" w:rsidP="00206211">
      <w:pPr>
        <w:widowControl w:val="0"/>
        <w:shd w:val="clear" w:color="auto" w:fill="FFFFFF"/>
        <w:spacing w:after="0" w:line="240" w:lineRule="auto"/>
        <w:ind w:firstLine="284"/>
        <w:jc w:val="both"/>
        <w:rPr>
          <w:rFonts w:ascii="Arial" w:hAnsi="Arial"/>
          <w:bCs/>
          <w:sz w:val="24"/>
          <w:szCs w:val="30"/>
        </w:rPr>
      </w:pPr>
      <w:r w:rsidRPr="00261AEF">
        <w:rPr>
          <w:rFonts w:ascii="Arial" w:hAnsi="Arial"/>
          <w:bCs/>
          <w:sz w:val="24"/>
          <w:szCs w:val="30"/>
        </w:rPr>
        <w:t>В подпункт 6.3 пункта 6 Инструкции внесены изменения, согласно которым в графе 12 «Примечание» части I раздела I книги учета доходов и расходов требуется указывать дату оплаты товаров (работ, услуг), имущественных прав, выручка от реализации которых отражается в соответствии с пунктом 12 статьи 328 НК. Это позволит упростить администрирование правильности определения налоговых обязательств по налогу при УСН.</w:t>
      </w:r>
    </w:p>
    <w:p w14:paraId="258AD549" w14:textId="77777777" w:rsidR="00206211" w:rsidRPr="00261AEF" w:rsidRDefault="00206211" w:rsidP="00206211">
      <w:pPr>
        <w:widowControl w:val="0"/>
        <w:shd w:val="clear" w:color="auto" w:fill="FFFFFF"/>
        <w:spacing w:after="0" w:line="240" w:lineRule="auto"/>
        <w:ind w:firstLine="284"/>
        <w:jc w:val="both"/>
        <w:rPr>
          <w:rFonts w:ascii="Arial" w:hAnsi="Arial"/>
          <w:bCs/>
          <w:sz w:val="24"/>
          <w:szCs w:val="30"/>
        </w:rPr>
      </w:pPr>
      <w:r w:rsidRPr="00261AEF">
        <w:rPr>
          <w:rFonts w:ascii="Arial" w:hAnsi="Arial"/>
          <w:bCs/>
          <w:sz w:val="24"/>
          <w:szCs w:val="30"/>
        </w:rPr>
        <w:t>Часть первая подпункта 6.5 пункта 6 Инструкции приведена в соответствие с частью первой пункта 9 статьи 328 НК, согласно которой с 2024 года корректировка налоговых обязательств, обусловленная возвратом в текущем налоговом периоде денежных средств, учтенных при исчислении налога при УСН в прошлом налоговом периоде, осуществляется путем уменьшения налоговой базы, а не суммы налога при УСН, при условии, что в периоде возврата денежных средств действует та же ставка налога при УСН, что и в периоде их включения в налоговую базу.</w:t>
      </w:r>
    </w:p>
    <w:p w14:paraId="5A2525D0" w14:textId="60310EB7" w:rsidR="00206211" w:rsidRPr="00261AEF" w:rsidRDefault="00206211" w:rsidP="002062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/>
          <w:iCs/>
          <w:kern w:val="0"/>
          <w:sz w:val="24"/>
          <w:szCs w:val="30"/>
          <w:lang w:eastAsia="ru-RU"/>
        </w:rPr>
      </w:pP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 xml:space="preserve">Изменения в подпункт 12.5 пункта 12 Инструкции обусловлены тем, что с 2024 года определение размера расчетной стоимости одного квадратного метра (метра) типового капитального строения (здания, сооружения) в отношении иных </w:t>
      </w:r>
      <w:bookmarkStart w:id="4" w:name="_Hlk161153646"/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 xml:space="preserve">зданий, сооружений, помещений </w:t>
      </w:r>
      <w:bookmarkEnd w:id="4"/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>осуществляется в соответствии с приложением 32</w:t>
      </w:r>
      <w:r w:rsidRPr="00261AEF">
        <w:rPr>
          <w:rFonts w:ascii="Arial" w:eastAsia="Times New Roman" w:hAnsi="Arial"/>
          <w:iCs/>
          <w:kern w:val="0"/>
          <w:sz w:val="24"/>
          <w:szCs w:val="30"/>
          <w:vertAlign w:val="superscript"/>
          <w:lang w:eastAsia="ru-RU"/>
        </w:rPr>
        <w:t>1</w:t>
      </w: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 xml:space="preserve"> к НК исходя из площади (протяженности) этих зданий, сооружений, помещений.</w:t>
      </w:r>
    </w:p>
    <w:p w14:paraId="5E2883AA" w14:textId="77777777" w:rsidR="00206211" w:rsidRPr="00261AEF" w:rsidRDefault="00206211" w:rsidP="00206211">
      <w:pPr>
        <w:widowControl w:val="0"/>
        <w:spacing w:after="0" w:line="240" w:lineRule="auto"/>
        <w:ind w:firstLine="284"/>
        <w:jc w:val="both"/>
        <w:rPr>
          <w:rFonts w:ascii="Arial" w:eastAsia="Times New Roman" w:hAnsi="Arial"/>
          <w:iCs/>
          <w:kern w:val="0"/>
          <w:sz w:val="24"/>
          <w:szCs w:val="30"/>
          <w:lang w:eastAsia="ru-RU"/>
        </w:rPr>
      </w:pP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>Корректировки, внесенные в</w:t>
      </w: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 xml:space="preserve"> подстрочное примечание «</w:t>
      </w:r>
      <w:r w:rsidRPr="00261AEF">
        <w:rPr>
          <w:rFonts w:ascii="Arial" w:eastAsia="Times New Roman" w:hAnsi="Arial"/>
          <w:kern w:val="0"/>
          <w:sz w:val="24"/>
          <w:szCs w:val="30"/>
          <w:vertAlign w:val="superscript"/>
          <w:lang w:eastAsia="ru-RU"/>
        </w:rPr>
        <w:t>5</w:t>
      </w:r>
      <w:r w:rsidRPr="00261AEF">
        <w:rPr>
          <w:rFonts w:ascii="Arial" w:eastAsia="Times New Roman" w:hAnsi="Arial"/>
          <w:kern w:val="0"/>
          <w:sz w:val="24"/>
          <w:szCs w:val="30"/>
          <w:lang w:eastAsia="ru-RU"/>
        </w:rPr>
        <w:t>» к форме книги учета доходов и расходов,</w:t>
      </w: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 xml:space="preserve"> в </w:t>
      </w:r>
      <w:r w:rsidRPr="00261AEF">
        <w:rPr>
          <w:rFonts w:ascii="Arial" w:hAnsi="Arial"/>
          <w:bCs/>
          <w:sz w:val="24"/>
          <w:szCs w:val="30"/>
        </w:rPr>
        <w:t xml:space="preserve">подпункт 6.4 пункта 6, пункт 7, </w:t>
      </w: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>подпункт 12.7 пункта 12, подпункт 13.2 пункта 13 Инструкции, носят редакционный характер.</w:t>
      </w:r>
    </w:p>
    <w:p w14:paraId="534FE833" w14:textId="77777777" w:rsidR="00206211" w:rsidRPr="00261AEF" w:rsidRDefault="00206211" w:rsidP="00206211">
      <w:pPr>
        <w:widowControl w:val="0"/>
        <w:tabs>
          <w:tab w:val="left" w:pos="720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/>
          <w:iCs/>
          <w:kern w:val="0"/>
          <w:sz w:val="24"/>
          <w:szCs w:val="30"/>
          <w:lang w:eastAsia="ru-RU"/>
        </w:rPr>
      </w:pPr>
      <w:r w:rsidRPr="00261AEF">
        <w:rPr>
          <w:rFonts w:ascii="Arial" w:eastAsia="Times New Roman" w:hAnsi="Arial"/>
          <w:iCs/>
          <w:kern w:val="0"/>
          <w:sz w:val="24"/>
          <w:szCs w:val="30"/>
          <w:lang w:eastAsia="ru-RU"/>
        </w:rPr>
        <w:t>Для обеспечения единообразия ведения учета организации, применяющие УСН, вправе отразить в книге учета доходов и расходов, актуализированной с учетом положений постановления № 5/15/13/9, сведения за период начиная с 1 января 2024 г.</w:t>
      </w:r>
    </w:p>
    <w:p w14:paraId="3B8BC565" w14:textId="77777777" w:rsidR="00206211" w:rsidRPr="00261AEF" w:rsidRDefault="00206211" w:rsidP="00206211">
      <w:pPr>
        <w:widowControl w:val="0"/>
        <w:tabs>
          <w:tab w:val="left" w:pos="720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kern w:val="0"/>
          <w:sz w:val="24"/>
          <w:szCs w:val="24"/>
          <w:lang w:eastAsia="ru-RU"/>
        </w:rPr>
      </w:pPr>
    </w:p>
    <w:p w14:paraId="7C207780" w14:textId="77777777" w:rsidR="00206211" w:rsidRPr="00261AEF" w:rsidRDefault="00206211" w:rsidP="00206211">
      <w:pPr>
        <w:widowControl w:val="0"/>
        <w:tabs>
          <w:tab w:val="left" w:pos="720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kern w:val="0"/>
          <w:sz w:val="24"/>
          <w:szCs w:val="24"/>
          <w:lang w:eastAsia="ru-RU"/>
        </w:rPr>
      </w:pPr>
    </w:p>
    <w:p w14:paraId="0495521B" w14:textId="77777777" w:rsidR="00206211" w:rsidRPr="00261AEF" w:rsidRDefault="00206211" w:rsidP="00206211">
      <w:pPr>
        <w:widowControl w:val="0"/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/>
          <w:b/>
          <w:bCs/>
          <w:kern w:val="0"/>
          <w:szCs w:val="24"/>
          <w:lang w:eastAsia="ru-RU"/>
        </w:rPr>
      </w:pPr>
      <w:r w:rsidRPr="00261AEF">
        <w:rPr>
          <w:rFonts w:ascii="Arial" w:eastAsia="Times New Roman" w:hAnsi="Arial"/>
          <w:b/>
          <w:bCs/>
          <w:kern w:val="0"/>
          <w:szCs w:val="24"/>
          <w:lang w:eastAsia="ru-RU"/>
        </w:rPr>
        <w:t>Главное управление методологии налогообложения</w:t>
      </w:r>
    </w:p>
    <w:p w14:paraId="6F7B78CC" w14:textId="77777777" w:rsidR="00206211" w:rsidRPr="002644D8" w:rsidRDefault="00206211" w:rsidP="00206211">
      <w:pPr>
        <w:widowControl w:val="0"/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/>
          <w:b/>
          <w:bCs/>
          <w:kern w:val="0"/>
          <w:szCs w:val="24"/>
          <w:lang w:eastAsia="ru-RU"/>
        </w:rPr>
      </w:pPr>
      <w:r w:rsidRPr="00261AEF">
        <w:rPr>
          <w:rFonts w:ascii="Arial" w:eastAsia="Times New Roman" w:hAnsi="Arial"/>
          <w:b/>
          <w:bCs/>
          <w:kern w:val="0"/>
          <w:szCs w:val="24"/>
          <w:lang w:eastAsia="ru-RU"/>
        </w:rPr>
        <w:t>Министерства по налогам и сборам Республики Беларусь</w:t>
      </w:r>
    </w:p>
    <w:p w14:paraId="6ED623A4" w14:textId="77777777" w:rsidR="00206211" w:rsidRPr="00C762A0" w:rsidRDefault="00206211" w:rsidP="00206211">
      <w:pPr>
        <w:widowControl w:val="0"/>
        <w:spacing w:after="0" w:line="240" w:lineRule="auto"/>
        <w:jc w:val="both"/>
        <w:rPr>
          <w:rFonts w:ascii="Arial" w:eastAsia="Times New Roman" w:hAnsi="Arial"/>
          <w:kern w:val="0"/>
          <w:sz w:val="24"/>
          <w:szCs w:val="24"/>
          <w:lang w:eastAsia="ru-RU"/>
        </w:rPr>
      </w:pPr>
    </w:p>
    <w:p w14:paraId="28223C65" w14:textId="77777777" w:rsidR="00206211" w:rsidRPr="00C762A0" w:rsidRDefault="00206211" w:rsidP="00206211">
      <w:pPr>
        <w:widowControl w:val="0"/>
        <w:tabs>
          <w:tab w:val="left" w:pos="720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kern w:val="0"/>
          <w:sz w:val="24"/>
          <w:szCs w:val="24"/>
          <w:lang w:eastAsia="ru-RU"/>
        </w:rPr>
      </w:pPr>
    </w:p>
    <w:p w14:paraId="6719E986" w14:textId="77777777" w:rsidR="00C645B6" w:rsidRPr="00206211" w:rsidRDefault="00C645B6" w:rsidP="00206211"/>
    <w:sectPr w:rsidR="00C645B6" w:rsidRPr="00206211" w:rsidSect="000A0F44">
      <w:footnotePr>
        <w:numFmt w:val="chicago"/>
      </w:footnotePr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BC35C" w14:textId="77777777" w:rsidR="00F70393" w:rsidRDefault="00F70393" w:rsidP="00206211">
      <w:pPr>
        <w:spacing w:after="0" w:line="240" w:lineRule="auto"/>
      </w:pPr>
      <w:r>
        <w:separator/>
      </w:r>
    </w:p>
  </w:endnote>
  <w:endnote w:type="continuationSeparator" w:id="0">
    <w:p w14:paraId="6507C96D" w14:textId="77777777" w:rsidR="00F70393" w:rsidRDefault="00F70393" w:rsidP="0020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42090" w14:textId="77777777" w:rsidR="00F70393" w:rsidRDefault="00F70393" w:rsidP="00206211">
      <w:pPr>
        <w:spacing w:after="0" w:line="240" w:lineRule="auto"/>
      </w:pPr>
      <w:r>
        <w:separator/>
      </w:r>
    </w:p>
  </w:footnote>
  <w:footnote w:type="continuationSeparator" w:id="0">
    <w:p w14:paraId="4F009148" w14:textId="77777777" w:rsidR="00F70393" w:rsidRDefault="00F70393" w:rsidP="00206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70"/>
    <w:rsid w:val="000373A0"/>
    <w:rsid w:val="00206211"/>
    <w:rsid w:val="00245471"/>
    <w:rsid w:val="00261AEF"/>
    <w:rsid w:val="003456E6"/>
    <w:rsid w:val="005E3B70"/>
    <w:rsid w:val="00684540"/>
    <w:rsid w:val="00B1360B"/>
    <w:rsid w:val="00C645B6"/>
    <w:rsid w:val="00E34F02"/>
    <w:rsid w:val="00EA5C8B"/>
    <w:rsid w:val="00F7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6F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211"/>
    <w:rPr>
      <w:rFonts w:ascii="Calibri" w:eastAsia="Calibri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11"/>
    <w:pPr>
      <w:ind w:left="720"/>
      <w:contextualSpacing/>
    </w:pPr>
  </w:style>
  <w:style w:type="character" w:styleId="a4">
    <w:name w:val="footnote reference"/>
    <w:uiPriority w:val="99"/>
    <w:semiHidden/>
    <w:unhideWhenUsed/>
    <w:rsid w:val="00206211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4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471"/>
    <w:rPr>
      <w:rFonts w:ascii="Calibri" w:eastAsia="Calibri" w:hAnsi="Calibri" w:cs="Times New Roman"/>
      <w14:ligatures w14:val="none"/>
    </w:rPr>
  </w:style>
  <w:style w:type="paragraph" w:styleId="a7">
    <w:name w:val="footer"/>
    <w:basedOn w:val="a"/>
    <w:link w:val="a8"/>
    <w:uiPriority w:val="99"/>
    <w:unhideWhenUsed/>
    <w:rsid w:val="0024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471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2024-03-19T09:49:00Z</dcterms:created>
  <dcterms:modified xsi:type="dcterms:W3CDTF">2024-03-19T09:49:00Z</dcterms:modified>
</cp:coreProperties>
</file>