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BF" w:rsidRPr="00CA4404" w:rsidRDefault="004406BF" w:rsidP="004406BF">
      <w:pPr>
        <w:tabs>
          <w:tab w:val="left" w:pos="4962"/>
        </w:tabs>
        <w:spacing w:line="280" w:lineRule="exac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    </w:t>
      </w:r>
      <w:r w:rsidRPr="00CA4404">
        <w:rPr>
          <w:sz w:val="30"/>
          <w:szCs w:val="30"/>
        </w:rPr>
        <w:t>УТВЕРЖДЕНО</w:t>
      </w:r>
    </w:p>
    <w:p w:rsidR="004406BF" w:rsidRPr="00CA4404" w:rsidRDefault="004406BF" w:rsidP="004406BF">
      <w:pPr>
        <w:tabs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Pr="00CA4404">
        <w:rPr>
          <w:sz w:val="30"/>
          <w:szCs w:val="30"/>
        </w:rPr>
        <w:t xml:space="preserve">Протокол заседания комиссии </w:t>
      </w:r>
      <w:proofErr w:type="gramStart"/>
      <w:r w:rsidRPr="00CA4404">
        <w:rPr>
          <w:sz w:val="30"/>
          <w:szCs w:val="30"/>
        </w:rPr>
        <w:t>по</w:t>
      </w:r>
      <w:proofErr w:type="gramEnd"/>
    </w:p>
    <w:p w:rsidR="004406BF" w:rsidRPr="00CA4404" w:rsidRDefault="004406BF" w:rsidP="004406BF">
      <w:pPr>
        <w:tabs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Pr="00CA4404">
        <w:rPr>
          <w:sz w:val="30"/>
          <w:szCs w:val="30"/>
        </w:rPr>
        <w:t xml:space="preserve">противодействию коррупции  </w:t>
      </w:r>
      <w:proofErr w:type="gramStart"/>
      <w:r w:rsidRPr="00CA4404">
        <w:rPr>
          <w:sz w:val="30"/>
          <w:szCs w:val="30"/>
        </w:rPr>
        <w:t>в</w:t>
      </w:r>
      <w:proofErr w:type="gramEnd"/>
      <w:r w:rsidRPr="00CA4404">
        <w:rPr>
          <w:sz w:val="30"/>
          <w:szCs w:val="30"/>
        </w:rPr>
        <w:t xml:space="preserve"> </w:t>
      </w:r>
    </w:p>
    <w:p w:rsidR="004406BF" w:rsidRPr="00CA4404" w:rsidRDefault="004406BF" w:rsidP="004406BF">
      <w:pPr>
        <w:tabs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Pr="00CA4404">
        <w:rPr>
          <w:sz w:val="30"/>
          <w:szCs w:val="30"/>
        </w:rPr>
        <w:t xml:space="preserve">инспекции Министерства по </w:t>
      </w:r>
      <w:r>
        <w:rPr>
          <w:sz w:val="30"/>
          <w:szCs w:val="30"/>
        </w:rPr>
        <w:t xml:space="preserve">                                                                                           </w:t>
      </w:r>
      <w:r w:rsidRPr="00CA4404">
        <w:rPr>
          <w:sz w:val="30"/>
          <w:szCs w:val="30"/>
        </w:rPr>
        <w:t xml:space="preserve">налогам и сборам </w:t>
      </w:r>
      <w:r>
        <w:rPr>
          <w:sz w:val="30"/>
          <w:szCs w:val="30"/>
        </w:rPr>
        <w:t>Республики                                                                                                                 </w:t>
      </w:r>
      <w:r w:rsidRPr="00CA4404">
        <w:rPr>
          <w:sz w:val="30"/>
          <w:szCs w:val="30"/>
        </w:rPr>
        <w:t>Беларусь по</w:t>
      </w:r>
      <w:r>
        <w:rPr>
          <w:sz w:val="30"/>
          <w:szCs w:val="30"/>
        </w:rPr>
        <w:t xml:space="preserve"> Волковысскому району</w:t>
      </w:r>
    </w:p>
    <w:p w:rsidR="004406BF" w:rsidRPr="00CA4404" w:rsidRDefault="004406BF" w:rsidP="004406BF">
      <w:pPr>
        <w:tabs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от 27.12.2019 №5</w:t>
      </w:r>
    </w:p>
    <w:p w:rsidR="00CA4404" w:rsidRPr="00CA4404" w:rsidRDefault="00CA4404" w:rsidP="00B91FF2">
      <w:pPr>
        <w:tabs>
          <w:tab w:val="left" w:pos="5103"/>
        </w:tabs>
        <w:jc w:val="right"/>
        <w:rPr>
          <w:sz w:val="30"/>
          <w:szCs w:val="30"/>
        </w:rPr>
      </w:pPr>
      <w:r w:rsidRPr="00CA4404">
        <w:rPr>
          <w:sz w:val="30"/>
          <w:szCs w:val="30"/>
        </w:rPr>
        <w:tab/>
      </w:r>
    </w:p>
    <w:p w:rsidR="0059084A" w:rsidRPr="00CA4404" w:rsidRDefault="00AC710D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План работы комиссии по противодействию коррупции </w:t>
      </w:r>
      <w:proofErr w:type="gramStart"/>
      <w:r w:rsidRPr="00CA4404">
        <w:rPr>
          <w:sz w:val="30"/>
          <w:szCs w:val="30"/>
        </w:rPr>
        <w:t>в</w:t>
      </w:r>
      <w:proofErr w:type="gramEnd"/>
      <w:r w:rsidRPr="00CA4404">
        <w:rPr>
          <w:sz w:val="30"/>
          <w:szCs w:val="30"/>
        </w:rPr>
        <w:t xml:space="preserve"> </w:t>
      </w:r>
      <w:r w:rsidR="0059084A" w:rsidRPr="00CA4404">
        <w:rPr>
          <w:sz w:val="30"/>
          <w:szCs w:val="30"/>
        </w:rPr>
        <w:t xml:space="preserve"> </w:t>
      </w:r>
    </w:p>
    <w:p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инспекции Министерства по налогам и сборам </w:t>
      </w:r>
    </w:p>
    <w:p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Республики Беларусь по Волковысскому району </w:t>
      </w:r>
    </w:p>
    <w:p w:rsidR="00386739" w:rsidRPr="00CA4404" w:rsidRDefault="00C917E8" w:rsidP="00B9493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2020</w:t>
      </w:r>
      <w:r w:rsidR="00B94937" w:rsidRPr="00CA4404">
        <w:rPr>
          <w:sz w:val="30"/>
          <w:szCs w:val="30"/>
        </w:rPr>
        <w:t xml:space="preserve"> год    </w:t>
      </w:r>
    </w:p>
    <w:p w:rsidR="000E6DEE" w:rsidRPr="00CA4404" w:rsidRDefault="000E6DEE" w:rsidP="000E6DEE">
      <w:pPr>
        <w:ind w:firstLine="709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1559"/>
        <w:gridCol w:w="3544"/>
      </w:tblGrid>
      <w:tr w:rsidR="000E6DEE" w:rsidRPr="00CA4404" w:rsidTr="005415CA">
        <w:tc>
          <w:tcPr>
            <w:tcW w:w="959" w:type="dxa"/>
          </w:tcPr>
          <w:p w:rsidR="000E6DEE" w:rsidRPr="005415CA" w:rsidRDefault="000E6DEE" w:rsidP="005415CA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№ </w:t>
            </w:r>
          </w:p>
          <w:p w:rsidR="000E6DEE" w:rsidRPr="005415CA" w:rsidRDefault="000E6DEE" w:rsidP="005415CA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5415CA">
              <w:rPr>
                <w:sz w:val="26"/>
                <w:szCs w:val="26"/>
              </w:rPr>
              <w:t>п</w:t>
            </w:r>
            <w:proofErr w:type="gramEnd"/>
            <w:r w:rsidRPr="005415CA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</w:tcPr>
          <w:p w:rsidR="000E6DEE" w:rsidRPr="005415CA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:rsidR="000E6DEE" w:rsidRPr="005415CA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E6DEE" w:rsidRPr="005415CA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544" w:type="dxa"/>
          </w:tcPr>
          <w:p w:rsidR="000E6DEE" w:rsidRPr="005415CA" w:rsidRDefault="000E6DEE" w:rsidP="005415C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Ответственный испо</w:t>
            </w:r>
            <w:r w:rsidR="00CA4404" w:rsidRPr="005415CA">
              <w:rPr>
                <w:sz w:val="26"/>
                <w:szCs w:val="26"/>
              </w:rPr>
              <w:t>л</w:t>
            </w:r>
            <w:r w:rsidRPr="005415CA">
              <w:rPr>
                <w:sz w:val="26"/>
                <w:szCs w:val="26"/>
              </w:rPr>
              <w:t>нитель</w:t>
            </w:r>
          </w:p>
        </w:tc>
      </w:tr>
      <w:tr w:rsidR="00832372" w:rsidRPr="00CA4404" w:rsidTr="005415CA">
        <w:tc>
          <w:tcPr>
            <w:tcW w:w="959" w:type="dxa"/>
          </w:tcPr>
          <w:p w:rsidR="00832372" w:rsidRPr="00995186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pStyle w:val="a8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соблюдении законодательства при рассмотрении обращений граждан и юридических лиц, анализ обращений, жалоб на действия работников инспекции на предмет выявления </w:t>
            </w:r>
            <w:r w:rsidRPr="009210BC">
              <w:rPr>
                <w:color w:val="000000"/>
                <w:sz w:val="26"/>
                <w:szCs w:val="26"/>
              </w:rPr>
              <w:t xml:space="preserve">информации по вопросам проявлений </w:t>
            </w:r>
            <w:r w:rsidRPr="009210BC">
              <w:rPr>
                <w:sz w:val="26"/>
                <w:szCs w:val="26"/>
              </w:rPr>
              <w:t>коррупционного характера</w:t>
            </w:r>
          </w:p>
        </w:tc>
        <w:tc>
          <w:tcPr>
            <w:tcW w:w="1559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июнь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:rsidR="00832372" w:rsidRPr="009210BC" w:rsidRDefault="00832372" w:rsidP="009210BC">
            <w:pPr>
              <w:pStyle w:val="a8"/>
              <w:spacing w:line="240" w:lineRule="exact"/>
              <w:rPr>
                <w:sz w:val="26"/>
                <w:szCs w:val="26"/>
              </w:rPr>
            </w:pPr>
          </w:p>
        </w:tc>
      </w:tr>
      <w:tr w:rsidR="00832372" w:rsidRPr="00CA4404" w:rsidTr="005415CA">
        <w:tc>
          <w:tcPr>
            <w:tcW w:w="959" w:type="dxa"/>
          </w:tcPr>
          <w:p w:rsidR="00832372" w:rsidRPr="00995186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результатах  проведенного </w:t>
            </w:r>
            <w:proofErr w:type="gramStart"/>
            <w:r w:rsidRPr="009210BC">
              <w:rPr>
                <w:sz w:val="26"/>
                <w:szCs w:val="26"/>
              </w:rPr>
              <w:t>контроля за</w:t>
            </w:r>
            <w:proofErr w:type="gramEnd"/>
            <w:r w:rsidRPr="009210BC">
              <w:rPr>
                <w:sz w:val="26"/>
                <w:szCs w:val="26"/>
              </w:rPr>
              <w:t xml:space="preserve"> выполнением субъектом хозяйствования предложений согласно уведомлению, направленному отделом камерального контроля налогового органа по прежнему месту постановки на учет, срок исполнения которых на момент изменения места нахождения (жительства) не наступил</w:t>
            </w:r>
          </w:p>
        </w:tc>
        <w:tc>
          <w:tcPr>
            <w:tcW w:w="1559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июнь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Санюк</w:t>
            </w:r>
            <w:proofErr w:type="spellEnd"/>
            <w:r w:rsidRPr="009210BC">
              <w:rPr>
                <w:sz w:val="26"/>
                <w:szCs w:val="26"/>
              </w:rPr>
              <w:t xml:space="preserve"> Л.Г, начальник отдела камеральных проверок</w:t>
            </w:r>
          </w:p>
        </w:tc>
      </w:tr>
      <w:tr w:rsidR="00832372" w:rsidRPr="00CA4404" w:rsidTr="005415CA">
        <w:tc>
          <w:tcPr>
            <w:tcW w:w="959" w:type="dxa"/>
          </w:tcPr>
          <w:p w:rsidR="00832372" w:rsidRPr="00995186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9210BC">
              <w:rPr>
                <w:rFonts w:eastAsia="Calibri"/>
                <w:sz w:val="26"/>
                <w:szCs w:val="26"/>
              </w:rPr>
              <w:t>О своевременность внесения информации в карточки учета предписаний, актов, решений и постановлений в АИС «Контрольная работа» по выездным проверкам</w:t>
            </w:r>
          </w:p>
          <w:p w:rsidR="00832372" w:rsidRPr="009210BC" w:rsidRDefault="00832372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июнь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Гресь</w:t>
            </w:r>
            <w:proofErr w:type="spellEnd"/>
            <w:r w:rsidRPr="009210BC">
              <w:rPr>
                <w:sz w:val="26"/>
                <w:szCs w:val="26"/>
              </w:rPr>
              <w:t xml:space="preserve"> Т.А., начальник отдела контрольной работы.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832372" w:rsidRPr="00CA4404" w:rsidTr="005415CA">
        <w:tc>
          <w:tcPr>
            <w:tcW w:w="959" w:type="dxa"/>
          </w:tcPr>
          <w:p w:rsidR="00832372" w:rsidRPr="00995186" w:rsidRDefault="00832372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Об обоснованности возврата излишне уплаченной суммы налога, сбора (пошлины), пеней, а также возврата (зачета) дебитору плательщика излишне взысканной суммы дебиторской задолженности</w:t>
            </w:r>
          </w:p>
        </w:tc>
        <w:tc>
          <w:tcPr>
            <w:tcW w:w="1559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июнь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Василюк</w:t>
            </w:r>
            <w:proofErr w:type="spellEnd"/>
            <w:r w:rsidRPr="009210B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9210BC">
              <w:rPr>
                <w:sz w:val="26"/>
                <w:szCs w:val="26"/>
              </w:rPr>
              <w:t>Берестовицкому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району;</w:t>
            </w:r>
          </w:p>
          <w:p w:rsidR="00832372" w:rsidRPr="009210BC" w:rsidRDefault="00832372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Плахетко</w:t>
            </w:r>
            <w:proofErr w:type="spellEnd"/>
            <w:r w:rsidRPr="009210BC">
              <w:rPr>
                <w:sz w:val="26"/>
                <w:szCs w:val="26"/>
              </w:rPr>
              <w:t xml:space="preserve"> Н.Н.,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</w:t>
            </w:r>
            <w:r w:rsidRPr="009210BC">
              <w:rPr>
                <w:sz w:val="26"/>
                <w:szCs w:val="26"/>
              </w:rPr>
              <w:lastRenderedPageBreak/>
              <w:t xml:space="preserve">плательщиками по </w:t>
            </w:r>
            <w:proofErr w:type="spellStart"/>
            <w:r w:rsidRPr="009210BC">
              <w:rPr>
                <w:sz w:val="26"/>
                <w:szCs w:val="26"/>
              </w:rPr>
              <w:t>Свислочскому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району.</w:t>
            </w:r>
          </w:p>
        </w:tc>
      </w:tr>
      <w:tr w:rsidR="006407AB" w:rsidRPr="00CA4404" w:rsidTr="005415CA">
        <w:tc>
          <w:tcPr>
            <w:tcW w:w="959" w:type="dxa"/>
          </w:tcPr>
          <w:p w:rsidR="006407AB" w:rsidRPr="00995186" w:rsidRDefault="006407AB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7A1FE5" w:rsidRPr="009210BC" w:rsidRDefault="006407AB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проведенном анализе </w:t>
            </w:r>
          </w:p>
          <w:p w:rsidR="007A1FE5" w:rsidRPr="009210BC" w:rsidRDefault="007A1FE5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по закрытию USB-портов на компьютерах работников.</w:t>
            </w:r>
          </w:p>
          <w:p w:rsidR="006407AB" w:rsidRPr="009210BC" w:rsidRDefault="006407AB" w:rsidP="009210BC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A1FE5" w:rsidRPr="009210BC" w:rsidRDefault="007A1FE5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июнь</w:t>
            </w:r>
          </w:p>
          <w:p w:rsidR="006407AB" w:rsidRPr="009210BC" w:rsidRDefault="006407AB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407AB" w:rsidRPr="009210BC" w:rsidRDefault="007A1FE5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Фесенко С.И., заведующий группой информационного обеспечения</w:t>
            </w: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5415CA" w:rsidRDefault="00B27B4A" w:rsidP="00B738F1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559" w:type="dxa"/>
          </w:tcPr>
          <w:p w:rsidR="00B27B4A" w:rsidRPr="005415CA" w:rsidRDefault="00B27B4A" w:rsidP="00B738F1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B27B4A" w:rsidRPr="005415CA" w:rsidRDefault="00B27B4A" w:rsidP="00B738F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Новицкая О.Ю., заместитель начальника инспекци</w:t>
            </w:r>
            <w:proofErr w:type="gramStart"/>
            <w:r w:rsidRPr="005415CA">
              <w:rPr>
                <w:sz w:val="26"/>
                <w:szCs w:val="26"/>
              </w:rPr>
              <w:t>и-</w:t>
            </w:r>
            <w:proofErr w:type="gramEnd"/>
            <w:r w:rsidRPr="005415CA">
              <w:rPr>
                <w:sz w:val="26"/>
                <w:szCs w:val="26"/>
              </w:rPr>
              <w:t xml:space="preserve"> начальник управления налогообложения физических лиц</w:t>
            </w:r>
          </w:p>
          <w:p w:rsidR="00B27B4A" w:rsidRPr="005415CA" w:rsidRDefault="00B27B4A" w:rsidP="00B738F1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5415CA">
              <w:rPr>
                <w:sz w:val="26"/>
                <w:szCs w:val="26"/>
              </w:rPr>
              <w:t>Болтрукевич</w:t>
            </w:r>
            <w:proofErr w:type="spellEnd"/>
            <w:r w:rsidRPr="005415CA">
              <w:rPr>
                <w:sz w:val="26"/>
                <w:szCs w:val="26"/>
              </w:rPr>
              <w:t xml:space="preserve"> Т.Г., главный бухгалтер</w:t>
            </w:r>
          </w:p>
          <w:p w:rsidR="00B27B4A" w:rsidRPr="005415CA" w:rsidRDefault="00B27B4A" w:rsidP="00B738F1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5415CA">
              <w:rPr>
                <w:sz w:val="26"/>
                <w:szCs w:val="26"/>
              </w:rPr>
              <w:t>Апанович</w:t>
            </w:r>
            <w:proofErr w:type="spellEnd"/>
            <w:r w:rsidRPr="005415CA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</w:tc>
      </w:tr>
      <w:tr w:rsidR="00B27B4A" w:rsidRPr="00042C12" w:rsidTr="005415CA">
        <w:tc>
          <w:tcPr>
            <w:tcW w:w="959" w:type="dxa"/>
          </w:tcPr>
          <w:p w:rsidR="00B27B4A" w:rsidRPr="008349CC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9210BC">
              <w:rPr>
                <w:sz w:val="26"/>
                <w:szCs w:val="26"/>
              </w:rPr>
              <w:t>О результатах проведенного анализа уплаты государственной пошлины за выдачу разрешения на допуск транспортного средства к участию в дорожном движении</w:t>
            </w:r>
            <w:proofErr w:type="gramEnd"/>
            <w:r w:rsidRPr="009210BC">
              <w:rPr>
                <w:sz w:val="26"/>
                <w:szCs w:val="26"/>
              </w:rPr>
              <w:t xml:space="preserve"> работниками инспекции, имеющих в собственности (ином законном владении) автотранспортные средства  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работы;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042C12" w:rsidTr="005415CA">
        <w:tc>
          <w:tcPr>
            <w:tcW w:w="959" w:type="dxa"/>
          </w:tcPr>
          <w:p w:rsidR="00B27B4A" w:rsidRPr="008349CC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о задолженности по  налогам и сборам 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Василюк</w:t>
            </w:r>
            <w:proofErr w:type="spellEnd"/>
            <w:r w:rsidRPr="009210B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9210BC">
              <w:rPr>
                <w:sz w:val="26"/>
                <w:szCs w:val="26"/>
              </w:rPr>
              <w:t>Берестовицкому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Плахетко</w:t>
            </w:r>
            <w:proofErr w:type="spellEnd"/>
            <w:r w:rsidRPr="009210BC">
              <w:rPr>
                <w:sz w:val="26"/>
                <w:szCs w:val="26"/>
              </w:rPr>
              <w:t xml:space="preserve"> Н.Н.,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9210BC">
              <w:rPr>
                <w:sz w:val="26"/>
                <w:szCs w:val="26"/>
              </w:rPr>
              <w:t>Свислочскому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району.</w:t>
            </w: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  в букмекерских конторах, залах игровых автоматов и казино, и отражения их в декларации о доходах и имуществе, а также проверок на предмет получения работником выигрыша в рабочее время.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проведенном анализе по соблюдению требований информационной безопасности в части подписания и отправки на портал МНС Республики Беларусь инициативных сообщений в АИС «Расчет </w:t>
            </w:r>
            <w:r w:rsidRPr="009210BC">
              <w:rPr>
                <w:sz w:val="26"/>
                <w:szCs w:val="26"/>
              </w:rPr>
              <w:lastRenderedPageBreak/>
              <w:t>налогов»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lastRenderedPageBreak/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Фесенко С.И., заведующий группой информационного обеспечения</w:t>
            </w: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О результатах проведенного анализа деятельности близких родственников, свойственников</w:t>
            </w:r>
            <w:r w:rsidRPr="009210BC">
              <w:rPr>
                <w:sz w:val="26"/>
                <w:szCs w:val="26"/>
                <w:lang w:val="en-US"/>
              </w:rPr>
              <w:t> </w:t>
            </w:r>
            <w:r w:rsidRPr="009210BC">
              <w:rPr>
                <w:sz w:val="26"/>
                <w:szCs w:val="26"/>
              </w:rPr>
              <w:t>работников инспекции,</w:t>
            </w:r>
            <w:r w:rsidRPr="009210BC">
              <w:rPr>
                <w:sz w:val="26"/>
                <w:szCs w:val="26"/>
                <w:lang w:val="en-US"/>
              </w:rPr>
              <w:t> </w:t>
            </w:r>
            <w:r w:rsidRPr="009210BC">
              <w:rPr>
                <w:sz w:val="26"/>
                <w:szCs w:val="26"/>
              </w:rPr>
              <w:t>являющихся учредителями,</w:t>
            </w:r>
            <w:r w:rsidRPr="009210BC">
              <w:rPr>
                <w:sz w:val="26"/>
                <w:szCs w:val="26"/>
                <w:lang w:val="en-US"/>
              </w:rPr>
              <w:t> </w:t>
            </w:r>
            <w:r w:rsidRPr="009210BC">
              <w:rPr>
                <w:sz w:val="26"/>
                <w:szCs w:val="26"/>
              </w:rPr>
              <w:t xml:space="preserve">руководителями коммерческих организаций или индивидуальными предпринимателями, зарегистрированными на территории Волковысского, </w:t>
            </w:r>
            <w:proofErr w:type="spellStart"/>
            <w:r w:rsidRPr="009210BC">
              <w:rPr>
                <w:sz w:val="26"/>
                <w:szCs w:val="26"/>
              </w:rPr>
              <w:t>Берестовицкого</w:t>
            </w:r>
            <w:proofErr w:type="spellEnd"/>
            <w:r w:rsidRPr="009210BC">
              <w:rPr>
                <w:sz w:val="26"/>
                <w:szCs w:val="26"/>
              </w:rPr>
              <w:t xml:space="preserve">, </w:t>
            </w:r>
            <w:proofErr w:type="spellStart"/>
            <w:r w:rsidRPr="009210BC">
              <w:rPr>
                <w:sz w:val="26"/>
                <w:szCs w:val="26"/>
              </w:rPr>
              <w:t>Свислочского</w:t>
            </w:r>
            <w:proofErr w:type="spellEnd"/>
            <w:r w:rsidRPr="009210BC">
              <w:rPr>
                <w:sz w:val="26"/>
                <w:szCs w:val="26"/>
              </w:rPr>
              <w:t xml:space="preserve"> районов в целях предотвращения возникновения конфликта интересов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 w:rsidRPr="009210BC">
              <w:rPr>
                <w:sz w:val="26"/>
                <w:szCs w:val="26"/>
              </w:rPr>
              <w:t>-н</w:t>
            </w:r>
            <w:proofErr w:type="gramEnd"/>
            <w:r w:rsidRPr="009210BC">
              <w:rPr>
                <w:sz w:val="26"/>
                <w:szCs w:val="26"/>
              </w:rPr>
              <w:t>ачальник управления налогообложения физических лиц;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Гресь</w:t>
            </w:r>
            <w:proofErr w:type="spellEnd"/>
            <w:r w:rsidRPr="009210BC">
              <w:rPr>
                <w:sz w:val="26"/>
                <w:szCs w:val="26"/>
              </w:rPr>
              <w:t xml:space="preserve"> Т.А., начальник управления контрольной работы;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Санюк</w:t>
            </w:r>
            <w:proofErr w:type="spellEnd"/>
            <w:r w:rsidRPr="009210BC">
              <w:rPr>
                <w:sz w:val="26"/>
                <w:szCs w:val="26"/>
              </w:rPr>
              <w:t xml:space="preserve"> Л.Г., начальник отдела камеральных проверок.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CA4404" w:rsidTr="005415CA">
        <w:tc>
          <w:tcPr>
            <w:tcW w:w="959" w:type="dxa"/>
          </w:tcPr>
          <w:p w:rsidR="00B27B4A" w:rsidRPr="00886B94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О результатах проведенных проверочных мероприятий в отношении работников, выезжающих за границу, осуществления ими предпринимательской деятельности, участия в создании и управлении коммерческими организациями, работы по совместительству в качестве главных бухгалтеров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CA4404" w:rsidTr="005415CA">
        <w:tc>
          <w:tcPr>
            <w:tcW w:w="959" w:type="dxa"/>
          </w:tcPr>
          <w:p w:rsidR="00B27B4A" w:rsidRPr="008349CC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своевременности составления административных материалов и привлечение к административной ответственности по </w:t>
            </w:r>
            <w:r w:rsidRPr="009210BC">
              <w:rPr>
                <w:bCs/>
                <w:sz w:val="26"/>
                <w:szCs w:val="26"/>
              </w:rPr>
              <w:t>административным правонарушениям</w:t>
            </w:r>
          </w:p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работы;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 w:rsidRPr="009210BC">
              <w:rPr>
                <w:sz w:val="26"/>
                <w:szCs w:val="26"/>
              </w:rPr>
              <w:t>-н</w:t>
            </w:r>
            <w:proofErr w:type="gramEnd"/>
            <w:r w:rsidRPr="009210BC">
              <w:rPr>
                <w:sz w:val="26"/>
                <w:szCs w:val="26"/>
              </w:rPr>
              <w:t>ачальник управления налогообложения физических лиц;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Гресь</w:t>
            </w:r>
            <w:proofErr w:type="spellEnd"/>
            <w:r w:rsidRPr="009210BC">
              <w:rPr>
                <w:sz w:val="26"/>
                <w:szCs w:val="26"/>
              </w:rPr>
              <w:t xml:space="preserve"> Т.А., начальник управления контрольной работы;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Санюк</w:t>
            </w:r>
            <w:proofErr w:type="spellEnd"/>
            <w:r w:rsidRPr="009210BC">
              <w:rPr>
                <w:sz w:val="26"/>
                <w:szCs w:val="26"/>
              </w:rPr>
              <w:t xml:space="preserve"> Л.Г., начальник отдела камеральных проверок;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Василюк</w:t>
            </w:r>
            <w:proofErr w:type="spellEnd"/>
            <w:r w:rsidRPr="009210B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9210BC">
              <w:rPr>
                <w:sz w:val="26"/>
                <w:szCs w:val="26"/>
              </w:rPr>
              <w:t>Берестовицкому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району;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Плахетко</w:t>
            </w:r>
            <w:proofErr w:type="spellEnd"/>
            <w:r w:rsidRPr="009210BC">
              <w:rPr>
                <w:sz w:val="26"/>
                <w:szCs w:val="26"/>
              </w:rPr>
              <w:t xml:space="preserve"> Н.Н., заместитель начальника </w:t>
            </w:r>
            <w:proofErr w:type="gramStart"/>
            <w:r w:rsidRPr="009210BC">
              <w:rPr>
                <w:sz w:val="26"/>
                <w:szCs w:val="26"/>
              </w:rPr>
              <w:t>инспекции-начальник</w:t>
            </w:r>
            <w:proofErr w:type="gramEnd"/>
            <w:r w:rsidRPr="009210B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9210BC">
              <w:rPr>
                <w:sz w:val="26"/>
                <w:szCs w:val="26"/>
              </w:rPr>
              <w:t>Свислочскому</w:t>
            </w:r>
            <w:proofErr w:type="spellEnd"/>
            <w:r w:rsidRPr="009210BC">
              <w:rPr>
                <w:sz w:val="26"/>
                <w:szCs w:val="26"/>
              </w:rPr>
              <w:t xml:space="preserve"> району.</w:t>
            </w: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Анализ эффективности проводимых мероприятий в инспекции по противодействию коррупции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pStyle w:val="ac"/>
              <w:spacing w:after="0" w:line="240" w:lineRule="exact"/>
              <w:ind w:left="0"/>
              <w:jc w:val="both"/>
              <w:rPr>
                <w:sz w:val="26"/>
                <w:szCs w:val="26"/>
              </w:rPr>
            </w:pPr>
            <w:r w:rsidRPr="009210BC">
              <w:rPr>
                <w:rFonts w:ascii="Times New Roman" w:hAnsi="Times New Roman"/>
                <w:sz w:val="26"/>
                <w:szCs w:val="26"/>
              </w:rPr>
              <w:t xml:space="preserve">О полноте учета и обоснованности предоставления </w:t>
            </w:r>
            <w:proofErr w:type="gramStart"/>
            <w:r w:rsidRPr="009210BC">
              <w:rPr>
                <w:rFonts w:ascii="Times New Roman" w:hAnsi="Times New Roman"/>
                <w:sz w:val="26"/>
                <w:szCs w:val="26"/>
              </w:rPr>
              <w:t>льгот</w:t>
            </w:r>
            <w:proofErr w:type="gramEnd"/>
            <w:r w:rsidRPr="009210BC">
              <w:rPr>
                <w:rFonts w:ascii="Times New Roman" w:hAnsi="Times New Roman"/>
                <w:sz w:val="26"/>
                <w:szCs w:val="26"/>
              </w:rPr>
              <w:t xml:space="preserve"> физическим лицам по имущественным налогам 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pStyle w:val="a8"/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B27B4A" w:rsidRPr="009210BC" w:rsidRDefault="00B27B4A" w:rsidP="009210BC">
            <w:pPr>
              <w:pStyle w:val="a8"/>
              <w:spacing w:line="240" w:lineRule="exact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Новицкая О.</w:t>
            </w:r>
          </w:p>
          <w:p w:rsidR="00B27B4A" w:rsidRPr="009210BC" w:rsidRDefault="00B27B4A" w:rsidP="009210BC">
            <w:pPr>
              <w:pStyle w:val="a8"/>
              <w:spacing w:line="240" w:lineRule="exact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заместитель начальника инспекции - начальник управления налогообложения физических лиц</w:t>
            </w: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 результатах проведённых проверок своевременности, полноты и </w:t>
            </w:r>
            <w:proofErr w:type="gramStart"/>
            <w:r w:rsidRPr="009210BC">
              <w:rPr>
                <w:sz w:val="26"/>
                <w:szCs w:val="26"/>
              </w:rPr>
              <w:t>достоверности</w:t>
            </w:r>
            <w:proofErr w:type="gramEnd"/>
            <w:r w:rsidRPr="009210BC">
              <w:rPr>
                <w:sz w:val="26"/>
                <w:szCs w:val="26"/>
              </w:rPr>
              <w:t xml:space="preserve"> указанных в декларациях сведений, а также факта  получения государственными служащими денежных средств в виде дарения и займов от физических лиц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Апанович</w:t>
            </w:r>
            <w:proofErr w:type="spellEnd"/>
            <w:r w:rsidRPr="009210B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:rsidR="00B27B4A" w:rsidRPr="009210BC" w:rsidRDefault="00B27B4A" w:rsidP="009210BC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27B4A" w:rsidRPr="00CA4404" w:rsidTr="005415CA">
        <w:tc>
          <w:tcPr>
            <w:tcW w:w="959" w:type="dxa"/>
          </w:tcPr>
          <w:p w:rsidR="00B27B4A" w:rsidRPr="00995186" w:rsidRDefault="00B27B4A" w:rsidP="00832372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 xml:space="preserve">Об утверждении плана работы комиссии по противодействию коррупции и разработка  плана мероприятий по противодействию коррупции на 2021 год </w:t>
            </w:r>
          </w:p>
        </w:tc>
        <w:tc>
          <w:tcPr>
            <w:tcW w:w="1559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210BC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B27B4A" w:rsidRPr="009210BC" w:rsidRDefault="00B27B4A" w:rsidP="009210BC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9210BC">
              <w:rPr>
                <w:sz w:val="26"/>
                <w:szCs w:val="26"/>
              </w:rPr>
              <w:t>Мисько</w:t>
            </w:r>
            <w:proofErr w:type="spellEnd"/>
            <w:r w:rsidRPr="009210BC">
              <w:rPr>
                <w:sz w:val="26"/>
                <w:szCs w:val="26"/>
              </w:rPr>
              <w:t xml:space="preserve"> А.В., начальник инспекции</w:t>
            </w:r>
          </w:p>
        </w:tc>
      </w:tr>
    </w:tbl>
    <w:p w:rsid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</w:p>
    <w:p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*При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на 2020 год. </w:t>
      </w:r>
    </w:p>
    <w:p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Заседание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может быть проведено во внеплановом порядке.</w:t>
      </w:r>
    </w:p>
    <w:p w:rsidR="000E6DEE" w:rsidRPr="00757510" w:rsidRDefault="000E6DEE" w:rsidP="007A0E67">
      <w:pPr>
        <w:rPr>
          <w:sz w:val="30"/>
          <w:szCs w:val="30"/>
        </w:rPr>
      </w:pPr>
    </w:p>
    <w:sectPr w:rsidR="000E6DEE" w:rsidRPr="00757510" w:rsidSect="009621A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7F" w:rsidRDefault="00E2767F">
      <w:r>
        <w:separator/>
      </w:r>
    </w:p>
  </w:endnote>
  <w:endnote w:type="continuationSeparator" w:id="0">
    <w:p w:rsidR="00E2767F" w:rsidRDefault="00E2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7F" w:rsidRDefault="00E2767F">
      <w:r>
        <w:separator/>
      </w:r>
    </w:p>
  </w:footnote>
  <w:footnote w:type="continuationSeparator" w:id="0">
    <w:p w:rsidR="00E2767F" w:rsidRDefault="00E27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BAC" w:rsidRDefault="00C57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F72">
      <w:rPr>
        <w:rStyle w:val="a5"/>
        <w:noProof/>
      </w:rPr>
      <w:t>4</w:t>
    </w:r>
    <w:r>
      <w:rPr>
        <w:rStyle w:val="a5"/>
      </w:rPr>
      <w:fldChar w:fldCharType="end"/>
    </w:r>
  </w:p>
  <w:p w:rsidR="00C57BAC" w:rsidRDefault="00C57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3E3"/>
    <w:rsid w:val="000020B4"/>
    <w:rsid w:val="00016568"/>
    <w:rsid w:val="00042C12"/>
    <w:rsid w:val="000866DC"/>
    <w:rsid w:val="000A08DB"/>
    <w:rsid w:val="000B3F90"/>
    <w:rsid w:val="000D14E9"/>
    <w:rsid w:val="000E6DEE"/>
    <w:rsid w:val="000F0C7F"/>
    <w:rsid w:val="0011457E"/>
    <w:rsid w:val="00124F72"/>
    <w:rsid w:val="0012757B"/>
    <w:rsid w:val="001279DB"/>
    <w:rsid w:val="00134DB8"/>
    <w:rsid w:val="001518E6"/>
    <w:rsid w:val="001520AE"/>
    <w:rsid w:val="0015636A"/>
    <w:rsid w:val="00162DF8"/>
    <w:rsid w:val="0016488B"/>
    <w:rsid w:val="00170484"/>
    <w:rsid w:val="00174803"/>
    <w:rsid w:val="00190003"/>
    <w:rsid w:val="001B00CB"/>
    <w:rsid w:val="001E047C"/>
    <w:rsid w:val="001E2401"/>
    <w:rsid w:val="00207522"/>
    <w:rsid w:val="0021430F"/>
    <w:rsid w:val="00217630"/>
    <w:rsid w:val="00237BA7"/>
    <w:rsid w:val="00243E26"/>
    <w:rsid w:val="00294314"/>
    <w:rsid w:val="002B6747"/>
    <w:rsid w:val="002F16B0"/>
    <w:rsid w:val="00324EFC"/>
    <w:rsid w:val="00341CD9"/>
    <w:rsid w:val="00386739"/>
    <w:rsid w:val="003C1CB6"/>
    <w:rsid w:val="003D19D9"/>
    <w:rsid w:val="003D5A39"/>
    <w:rsid w:val="00422C44"/>
    <w:rsid w:val="0042547C"/>
    <w:rsid w:val="004274DE"/>
    <w:rsid w:val="004406BF"/>
    <w:rsid w:val="00466533"/>
    <w:rsid w:val="004720FD"/>
    <w:rsid w:val="00491726"/>
    <w:rsid w:val="004D40D0"/>
    <w:rsid w:val="004F3180"/>
    <w:rsid w:val="004F5BE3"/>
    <w:rsid w:val="00522369"/>
    <w:rsid w:val="005415CA"/>
    <w:rsid w:val="00555C2E"/>
    <w:rsid w:val="0059084A"/>
    <w:rsid w:val="005951D6"/>
    <w:rsid w:val="005C5FD3"/>
    <w:rsid w:val="005D659F"/>
    <w:rsid w:val="005F2039"/>
    <w:rsid w:val="00610063"/>
    <w:rsid w:val="00625673"/>
    <w:rsid w:val="006407AB"/>
    <w:rsid w:val="00664C28"/>
    <w:rsid w:val="006710CD"/>
    <w:rsid w:val="00680A99"/>
    <w:rsid w:val="0068209B"/>
    <w:rsid w:val="00683134"/>
    <w:rsid w:val="00691304"/>
    <w:rsid w:val="00693ACE"/>
    <w:rsid w:val="00694BEE"/>
    <w:rsid w:val="006A0DD8"/>
    <w:rsid w:val="006A12B1"/>
    <w:rsid w:val="006C1CF1"/>
    <w:rsid w:val="006E7C76"/>
    <w:rsid w:val="00711EE1"/>
    <w:rsid w:val="00725600"/>
    <w:rsid w:val="007301C4"/>
    <w:rsid w:val="00757510"/>
    <w:rsid w:val="007A0E67"/>
    <w:rsid w:val="007A1FE5"/>
    <w:rsid w:val="007A3183"/>
    <w:rsid w:val="007A6B47"/>
    <w:rsid w:val="007D3DEB"/>
    <w:rsid w:val="007E6DFB"/>
    <w:rsid w:val="007F1DC7"/>
    <w:rsid w:val="007F4C03"/>
    <w:rsid w:val="00802FB8"/>
    <w:rsid w:val="0081121D"/>
    <w:rsid w:val="00815E2A"/>
    <w:rsid w:val="00832372"/>
    <w:rsid w:val="008349CC"/>
    <w:rsid w:val="0086504A"/>
    <w:rsid w:val="0087186D"/>
    <w:rsid w:val="00882A7F"/>
    <w:rsid w:val="00886B94"/>
    <w:rsid w:val="008A1D79"/>
    <w:rsid w:val="008B1073"/>
    <w:rsid w:val="008C56DD"/>
    <w:rsid w:val="008F4B78"/>
    <w:rsid w:val="009210BC"/>
    <w:rsid w:val="009327E2"/>
    <w:rsid w:val="009375C7"/>
    <w:rsid w:val="00950E95"/>
    <w:rsid w:val="009517D9"/>
    <w:rsid w:val="009621AC"/>
    <w:rsid w:val="0096520C"/>
    <w:rsid w:val="009837D9"/>
    <w:rsid w:val="00995186"/>
    <w:rsid w:val="009A3B40"/>
    <w:rsid w:val="009B615E"/>
    <w:rsid w:val="009C6BEC"/>
    <w:rsid w:val="00A02280"/>
    <w:rsid w:val="00A12209"/>
    <w:rsid w:val="00A36EB0"/>
    <w:rsid w:val="00A40EAA"/>
    <w:rsid w:val="00A42BF3"/>
    <w:rsid w:val="00A83C54"/>
    <w:rsid w:val="00A93473"/>
    <w:rsid w:val="00AA5B2C"/>
    <w:rsid w:val="00AA7548"/>
    <w:rsid w:val="00AC11BB"/>
    <w:rsid w:val="00AC710D"/>
    <w:rsid w:val="00AD319D"/>
    <w:rsid w:val="00AE4EB6"/>
    <w:rsid w:val="00B113C9"/>
    <w:rsid w:val="00B259B9"/>
    <w:rsid w:val="00B27B4A"/>
    <w:rsid w:val="00B30237"/>
    <w:rsid w:val="00B426FD"/>
    <w:rsid w:val="00B47D09"/>
    <w:rsid w:val="00B50368"/>
    <w:rsid w:val="00B658C0"/>
    <w:rsid w:val="00B77FF1"/>
    <w:rsid w:val="00B8678B"/>
    <w:rsid w:val="00B91FF2"/>
    <w:rsid w:val="00B94937"/>
    <w:rsid w:val="00BB753A"/>
    <w:rsid w:val="00BE606A"/>
    <w:rsid w:val="00C343E3"/>
    <w:rsid w:val="00C35D63"/>
    <w:rsid w:val="00C40A0F"/>
    <w:rsid w:val="00C451B3"/>
    <w:rsid w:val="00C57BAC"/>
    <w:rsid w:val="00C71E93"/>
    <w:rsid w:val="00C917E8"/>
    <w:rsid w:val="00CA4404"/>
    <w:rsid w:val="00CB301E"/>
    <w:rsid w:val="00CD030B"/>
    <w:rsid w:val="00CD4572"/>
    <w:rsid w:val="00D15A94"/>
    <w:rsid w:val="00D2633C"/>
    <w:rsid w:val="00D307DE"/>
    <w:rsid w:val="00D32CDB"/>
    <w:rsid w:val="00D36707"/>
    <w:rsid w:val="00D4019D"/>
    <w:rsid w:val="00D414AB"/>
    <w:rsid w:val="00D92F13"/>
    <w:rsid w:val="00DC2015"/>
    <w:rsid w:val="00E10EBE"/>
    <w:rsid w:val="00E11DB4"/>
    <w:rsid w:val="00E2767F"/>
    <w:rsid w:val="00E41814"/>
    <w:rsid w:val="00E53EE4"/>
    <w:rsid w:val="00E55E53"/>
    <w:rsid w:val="00E66057"/>
    <w:rsid w:val="00E67E67"/>
    <w:rsid w:val="00E7004D"/>
    <w:rsid w:val="00E74150"/>
    <w:rsid w:val="00E860F1"/>
    <w:rsid w:val="00EA3159"/>
    <w:rsid w:val="00EC27DD"/>
    <w:rsid w:val="00EC7B41"/>
    <w:rsid w:val="00EE4F15"/>
    <w:rsid w:val="00F06624"/>
    <w:rsid w:val="00F11DA2"/>
    <w:rsid w:val="00F14ADA"/>
    <w:rsid w:val="00F60405"/>
    <w:rsid w:val="00F604A8"/>
    <w:rsid w:val="00F63DA2"/>
    <w:rsid w:val="00F70002"/>
    <w:rsid w:val="00F71333"/>
    <w:rsid w:val="00F75056"/>
    <w:rsid w:val="00FA3A36"/>
    <w:rsid w:val="00FB1367"/>
    <w:rsid w:val="00FB2781"/>
    <w:rsid w:val="00FB480F"/>
    <w:rsid w:val="00FD1A87"/>
    <w:rsid w:val="00FE1177"/>
    <w:rsid w:val="00FF0CAB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849B-406C-4F9C-8B53-F72DB311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DOM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user1</dc:creator>
  <cp:lastModifiedBy>Шпигун Инна Владимировна</cp:lastModifiedBy>
  <cp:revision>2</cp:revision>
  <cp:lastPrinted>2019-12-26T16:19:00Z</cp:lastPrinted>
  <dcterms:created xsi:type="dcterms:W3CDTF">2020-01-08T11:12:00Z</dcterms:created>
  <dcterms:modified xsi:type="dcterms:W3CDTF">2020-01-08T11:12:00Z</dcterms:modified>
</cp:coreProperties>
</file>