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17" w:rsidRDefault="00656317" w:rsidP="00656317">
      <w:pPr>
        <w:suppressAutoHyphens/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</w:t>
      </w:r>
      <w:r w:rsidRPr="004A1D59">
        <w:rPr>
          <w:sz w:val="30"/>
          <w:szCs w:val="30"/>
        </w:rPr>
        <w:t>УТВЕ</w:t>
      </w:r>
      <w:r>
        <w:rPr>
          <w:sz w:val="30"/>
          <w:szCs w:val="30"/>
        </w:rPr>
        <w:t>Р</w:t>
      </w:r>
      <w:r w:rsidRPr="004A1D59">
        <w:rPr>
          <w:sz w:val="30"/>
          <w:szCs w:val="30"/>
        </w:rPr>
        <w:t>ЖДЕНО</w:t>
      </w:r>
    </w:p>
    <w:p w:rsidR="00656317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Протокол заседания комиссии </w:t>
      </w: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         </w:t>
      </w:r>
    </w:p>
    <w:p w:rsidR="00656317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противодействию коррупции </w:t>
      </w:r>
    </w:p>
    <w:p w:rsidR="00656317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и</w:t>
      </w:r>
      <w:r>
        <w:rPr>
          <w:sz w:val="30"/>
          <w:szCs w:val="30"/>
        </w:rPr>
        <w:t>нспекции МНС Республики</w:t>
      </w:r>
    </w:p>
    <w:p w:rsidR="00656317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>
        <w:rPr>
          <w:sz w:val="30"/>
          <w:szCs w:val="30"/>
        </w:rPr>
        <w:t xml:space="preserve">Беларусь  </w:t>
      </w:r>
    </w:p>
    <w:p w:rsidR="00656317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по Партизанскому району г. Минска</w:t>
      </w:r>
    </w:p>
    <w:p w:rsidR="00656317" w:rsidRPr="004A1D59" w:rsidRDefault="00656317" w:rsidP="00656317">
      <w:pPr>
        <w:suppressAutoHyphens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от 21.12.2018 №5</w:t>
      </w:r>
    </w:p>
    <w:p w:rsidR="00656317" w:rsidRDefault="00656317" w:rsidP="00656317">
      <w:pPr>
        <w:suppressAutoHyphens/>
        <w:spacing w:line="360" w:lineRule="auto"/>
        <w:jc w:val="center"/>
        <w:rPr>
          <w:sz w:val="30"/>
          <w:szCs w:val="30"/>
          <w:u w:val="single"/>
        </w:rPr>
      </w:pPr>
    </w:p>
    <w:p w:rsidR="00656317" w:rsidRPr="007E4510" w:rsidRDefault="00656317" w:rsidP="00656317">
      <w:pPr>
        <w:suppressAutoHyphens/>
        <w:jc w:val="center"/>
        <w:rPr>
          <w:sz w:val="30"/>
          <w:szCs w:val="30"/>
          <w:u w:val="single"/>
        </w:rPr>
      </w:pPr>
      <w:r w:rsidRPr="007E4510">
        <w:rPr>
          <w:sz w:val="30"/>
          <w:szCs w:val="30"/>
          <w:u w:val="single"/>
        </w:rPr>
        <w:t>П</w:t>
      </w:r>
      <w:r>
        <w:rPr>
          <w:sz w:val="30"/>
          <w:szCs w:val="30"/>
          <w:u w:val="single"/>
        </w:rPr>
        <w:t>ЛАН</w:t>
      </w:r>
    </w:p>
    <w:p w:rsidR="00656317" w:rsidRDefault="00656317" w:rsidP="00656317">
      <w:pPr>
        <w:suppressAutoHyphens/>
        <w:spacing w:line="240" w:lineRule="exact"/>
        <w:ind w:left="-540"/>
        <w:jc w:val="center"/>
        <w:rPr>
          <w:sz w:val="30"/>
          <w:szCs w:val="30"/>
        </w:rPr>
      </w:pPr>
      <w:r w:rsidRPr="007E4510">
        <w:rPr>
          <w:sz w:val="30"/>
          <w:szCs w:val="30"/>
        </w:rPr>
        <w:t xml:space="preserve">работы </w:t>
      </w:r>
      <w:r>
        <w:rPr>
          <w:sz w:val="30"/>
          <w:szCs w:val="30"/>
        </w:rPr>
        <w:t>комиссии по противодействию ко</w:t>
      </w:r>
      <w:r>
        <w:rPr>
          <w:sz w:val="30"/>
          <w:szCs w:val="30"/>
        </w:rPr>
        <w:t>р</w:t>
      </w:r>
      <w:r>
        <w:rPr>
          <w:sz w:val="30"/>
          <w:szCs w:val="30"/>
        </w:rPr>
        <w:t>рупции инспекции Министерства по налогам и сборам Республики Беларусь по</w:t>
      </w:r>
      <w:r w:rsidRPr="00E237A9">
        <w:rPr>
          <w:sz w:val="30"/>
          <w:szCs w:val="30"/>
        </w:rPr>
        <w:t xml:space="preserve"> </w:t>
      </w:r>
      <w:r>
        <w:rPr>
          <w:sz w:val="30"/>
          <w:szCs w:val="30"/>
        </w:rPr>
        <w:t>Партизанскому району г. Ми</w:t>
      </w:r>
      <w:r>
        <w:rPr>
          <w:sz w:val="30"/>
          <w:szCs w:val="30"/>
        </w:rPr>
        <w:t>н</w:t>
      </w:r>
      <w:r>
        <w:rPr>
          <w:sz w:val="30"/>
          <w:szCs w:val="30"/>
        </w:rPr>
        <w:t>ска на 2019 год.</w:t>
      </w:r>
    </w:p>
    <w:p w:rsidR="00656317" w:rsidRDefault="00656317" w:rsidP="00656317">
      <w:pPr>
        <w:suppressAutoHyphens/>
        <w:spacing w:line="240" w:lineRule="exact"/>
        <w:jc w:val="both"/>
        <w:rPr>
          <w:sz w:val="30"/>
          <w:szCs w:val="30"/>
        </w:rPr>
      </w:pP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"/>
        <w:gridCol w:w="540"/>
        <w:gridCol w:w="22"/>
        <w:gridCol w:w="4459"/>
        <w:gridCol w:w="225"/>
        <w:gridCol w:w="1575"/>
        <w:gridCol w:w="53"/>
        <w:gridCol w:w="2370"/>
        <w:gridCol w:w="65"/>
        <w:gridCol w:w="1028"/>
        <w:gridCol w:w="107"/>
      </w:tblGrid>
      <w:tr w:rsidR="00656317" w:rsidRPr="00A00DF9" w:rsidTr="00656317">
        <w:tc>
          <w:tcPr>
            <w:tcW w:w="709" w:type="dxa"/>
            <w:gridSpan w:val="2"/>
            <w:shd w:val="clear" w:color="auto" w:fill="auto"/>
          </w:tcPr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26E40">
              <w:rPr>
                <w:b/>
                <w:sz w:val="28"/>
                <w:szCs w:val="28"/>
              </w:rPr>
              <w:t>№</w:t>
            </w:r>
          </w:p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426E40">
              <w:rPr>
                <w:b/>
                <w:sz w:val="28"/>
                <w:szCs w:val="28"/>
              </w:rPr>
              <w:t>п</w:t>
            </w:r>
            <w:proofErr w:type="gramEnd"/>
            <w:r w:rsidRPr="00426E4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26E40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26E40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26E4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426E40" w:rsidRDefault="00656317" w:rsidP="00A7269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426E40">
              <w:rPr>
                <w:b/>
                <w:sz w:val="28"/>
                <w:szCs w:val="28"/>
              </w:rPr>
              <w:t>Приме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 w:rsidRPr="00426E40">
              <w:rPr>
                <w:b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656317" w:rsidRPr="00A00DF9" w:rsidTr="00656317">
        <w:tc>
          <w:tcPr>
            <w:tcW w:w="709" w:type="dxa"/>
            <w:gridSpan w:val="2"/>
            <w:shd w:val="clear" w:color="auto" w:fill="auto"/>
          </w:tcPr>
          <w:p w:rsidR="00656317" w:rsidRPr="00A00DF9" w:rsidRDefault="00656317" w:rsidP="00A72696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</w:rPr>
              <w:t>1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A00DF9" w:rsidRDefault="00656317" w:rsidP="00A72696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</w:rPr>
              <w:t>2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56317" w:rsidRPr="00A00DF9" w:rsidRDefault="00656317" w:rsidP="00A72696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</w:rPr>
              <w:t>3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A00DF9" w:rsidRDefault="00656317" w:rsidP="00A72696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</w:rPr>
              <w:t>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A00DF9" w:rsidRDefault="00656317" w:rsidP="00A72696">
            <w:pPr>
              <w:suppressAutoHyphens/>
              <w:spacing w:line="240" w:lineRule="exact"/>
              <w:jc w:val="center"/>
              <w:rPr>
                <w:b/>
              </w:rPr>
            </w:pPr>
            <w:r w:rsidRPr="00A00DF9">
              <w:rPr>
                <w:b/>
              </w:rPr>
              <w:t>5</w:t>
            </w:r>
          </w:p>
        </w:tc>
      </w:tr>
      <w:tr w:rsidR="00656317" w:rsidRPr="00C75F9B" w:rsidTr="00656317">
        <w:tc>
          <w:tcPr>
            <w:tcW w:w="709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1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Проведение планового заседания комиссии по противодействию коррупции инспекции МНС по   Партизанскому району 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г. Минска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квартал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c>
          <w:tcPr>
            <w:tcW w:w="709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2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Координация деятельности структурных подразделений инспекции в части реализации мер по противодействию коррупции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 Руководители структурных подразделений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trHeight w:val="2419"/>
        </w:trPr>
        <w:tc>
          <w:tcPr>
            <w:tcW w:w="709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3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5"/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C75F9B">
              <w:rPr>
                <w:sz w:val="28"/>
                <w:szCs w:val="28"/>
              </w:rPr>
              <w:t>Контроль за</w:t>
            </w:r>
            <w:proofErr w:type="gramEnd"/>
            <w:r w:rsidRPr="00C75F9B">
              <w:rPr>
                <w:sz w:val="28"/>
                <w:szCs w:val="28"/>
              </w:rPr>
              <w:t xml:space="preserve"> исполнением положений ст.17 «Ограничения, устанавливаемые</w:t>
            </w:r>
            <w:r>
              <w:rPr>
                <w:sz w:val="28"/>
                <w:szCs w:val="28"/>
              </w:rPr>
              <w:t xml:space="preserve"> </w:t>
            </w:r>
            <w:r w:rsidRPr="00C75F9B">
              <w:rPr>
                <w:sz w:val="28"/>
                <w:szCs w:val="28"/>
              </w:rPr>
              <w:t>для государственных должностных и приравненных к ним лиц» Закона Республики Беларусь «О борьбе с коррупцией» №305-З от 15.07.2015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основе, отчет в декабре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c>
          <w:tcPr>
            <w:tcW w:w="709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4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C75F9B">
              <w:rPr>
                <w:sz w:val="28"/>
                <w:szCs w:val="28"/>
              </w:rPr>
              <w:t>Контроль за</w:t>
            </w:r>
            <w:proofErr w:type="gramEnd"/>
            <w:r w:rsidRPr="00C75F9B">
              <w:rPr>
                <w:sz w:val="28"/>
                <w:szCs w:val="28"/>
              </w:rPr>
              <w:t xml:space="preserve"> соблюдением трудовой дисциплины работниками инспекции, как во время, так и после проведения проверочных мероприятий  субъектов предпринимательской деятельности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c>
          <w:tcPr>
            <w:tcW w:w="709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1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5"/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C75F9B">
              <w:rPr>
                <w:sz w:val="28"/>
                <w:szCs w:val="28"/>
              </w:rPr>
              <w:t>Контроль за</w:t>
            </w:r>
            <w:proofErr w:type="gramEnd"/>
            <w:r w:rsidRPr="00C75F9B">
              <w:rPr>
                <w:sz w:val="28"/>
                <w:szCs w:val="28"/>
              </w:rPr>
              <w:t xml:space="preserve"> соблюдением антикоррупционного законодательства и Правил</w:t>
            </w:r>
            <w:r w:rsidRPr="00A654D9">
              <w:rPr>
                <w:sz w:val="28"/>
                <w:szCs w:val="28"/>
              </w:rPr>
              <w:t xml:space="preserve"> этики должностн</w:t>
            </w:r>
            <w:r>
              <w:rPr>
                <w:sz w:val="28"/>
                <w:szCs w:val="28"/>
              </w:rPr>
              <w:t xml:space="preserve">ых лиц (работников) налоговых органов, утвержденных </w:t>
            </w:r>
            <w:r w:rsidRPr="00B22FAF">
              <w:rPr>
                <w:sz w:val="28"/>
                <w:szCs w:val="28"/>
              </w:rPr>
              <w:t>приказом Министерства по налогам и сборам Республики Беларусь от</w:t>
            </w:r>
            <w:r w:rsidRPr="00C75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14.11.2017 № 126</w:t>
            </w:r>
            <w:r w:rsidRPr="00C75F9B">
              <w:rPr>
                <w:sz w:val="28"/>
                <w:szCs w:val="28"/>
              </w:rPr>
              <w:t xml:space="preserve"> 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Члены комиссии Руководители структурных подразделений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1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Обобщение сводной информации </w:t>
            </w:r>
            <w:proofErr w:type="gramStart"/>
            <w:r w:rsidRPr="00C75F9B">
              <w:rPr>
                <w:sz w:val="28"/>
                <w:szCs w:val="28"/>
              </w:rPr>
              <w:t xml:space="preserve">о проделанной работе по противодействию коррупции для представления в ИМНС по </w:t>
            </w:r>
            <w:r>
              <w:rPr>
                <w:sz w:val="28"/>
                <w:szCs w:val="28"/>
              </w:rPr>
              <w:t xml:space="preserve">              </w:t>
            </w:r>
            <w:r w:rsidRPr="00C75F9B">
              <w:rPr>
                <w:sz w:val="28"/>
                <w:szCs w:val="28"/>
              </w:rPr>
              <w:t>г</w:t>
            </w:r>
            <w:proofErr w:type="gramEnd"/>
            <w:r w:rsidRPr="00C75F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C75F9B">
              <w:rPr>
                <w:sz w:val="28"/>
                <w:szCs w:val="28"/>
              </w:rPr>
              <w:t xml:space="preserve">Минску 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полугодие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Секретарь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к</w:t>
            </w:r>
            <w:r w:rsidRPr="00C75F9B">
              <w:rPr>
                <w:sz w:val="28"/>
                <w:szCs w:val="28"/>
              </w:rPr>
              <w:t>о</w:t>
            </w:r>
            <w:r w:rsidRPr="00C75F9B">
              <w:rPr>
                <w:sz w:val="28"/>
                <w:szCs w:val="28"/>
              </w:rPr>
              <w:t>миссии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28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5F9B">
              <w:rPr>
                <w:sz w:val="28"/>
                <w:szCs w:val="28"/>
              </w:rPr>
              <w:t>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КГБ, УДФР и др.</w:t>
            </w: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квартал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28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 по вопросам практического применения рекомендаций по действиям должностных лиц налоговых органов по предупреждению и пресечению фактов дачи взятки,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проверок.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1 раз 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полугодие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 Руководители структурных подразделений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1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Проведение работы по повышению уровня трудовой и исполнительской дисциплины согласно основным положениям Директивы Президента Республики Беларусь от 11.03.2004 №1 «О мерах по укреплению общественной безопасности и дисциплины» и Декрета Президента Республики Беларусь от 15.12.2014 №5 года «Об усилении требований к руководящим кадрам и работникам организ</w:t>
            </w:r>
            <w:r w:rsidRPr="00C75F9B">
              <w:rPr>
                <w:sz w:val="28"/>
                <w:szCs w:val="28"/>
              </w:rPr>
              <w:t>а</w:t>
            </w:r>
            <w:r w:rsidRPr="00C75F9B">
              <w:rPr>
                <w:sz w:val="28"/>
                <w:szCs w:val="28"/>
              </w:rPr>
              <w:t xml:space="preserve">ций» </w:t>
            </w: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>, отчет в январе и декабре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Руководители структурных подразделений 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1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режима рабочего времени.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Члены комиссии</w:t>
            </w:r>
          </w:p>
          <w:p w:rsidR="00656317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15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5"/>
              <w:suppressAutoHyphens/>
              <w:spacing w:line="240" w:lineRule="exact"/>
              <w:ind w:firstLine="72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Выполнение </w:t>
            </w:r>
            <w:r w:rsidRPr="00832C73">
              <w:rPr>
                <w:sz w:val="28"/>
                <w:szCs w:val="28"/>
              </w:rPr>
              <w:t>«Программы постоянных организационно-профилактических мероприятий по противодействию коррупционным</w:t>
            </w:r>
            <w:r w:rsidRPr="00C75F9B">
              <w:rPr>
                <w:sz w:val="28"/>
                <w:szCs w:val="28"/>
              </w:rPr>
              <w:t xml:space="preserve"> проявлениям в инспекции </w:t>
            </w:r>
            <w:r w:rsidRPr="00C75F9B">
              <w:rPr>
                <w:sz w:val="28"/>
                <w:szCs w:val="28"/>
              </w:rPr>
              <w:lastRenderedPageBreak/>
              <w:t>Министерства по налогам и сборам Республики Беларусь по Партизанскому  району г. Минска»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Члены комиссии Руководители структурных </w:t>
            </w:r>
            <w:r w:rsidRPr="00C75F9B">
              <w:rPr>
                <w:sz w:val="28"/>
                <w:szCs w:val="28"/>
              </w:rPr>
              <w:lastRenderedPageBreak/>
              <w:t xml:space="preserve">подразделений 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2938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5"/>
              <w:suppressAutoHyphens/>
              <w:spacing w:line="240" w:lineRule="exact"/>
              <w:ind w:firstLine="72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Комплектование штата инспекции специалистами в строгом соответствии с требованиями квалификационного справочника «Государственные должности государственных служащих», утвержденного Постановлением Министерства труда и социальной защиты Республики Беларусь от 24.10.2003 №135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2769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5"/>
              <w:tabs>
                <w:tab w:val="left" w:pos="72"/>
              </w:tabs>
              <w:suppressAutoHyphens/>
              <w:spacing w:line="240" w:lineRule="exact"/>
              <w:ind w:left="72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Осуществл</w:t>
            </w:r>
            <w:r>
              <w:rPr>
                <w:sz w:val="28"/>
                <w:szCs w:val="28"/>
              </w:rPr>
              <w:t>ение</w:t>
            </w:r>
            <w:r w:rsidRPr="00C75F9B">
              <w:rPr>
                <w:sz w:val="28"/>
                <w:szCs w:val="28"/>
              </w:rPr>
              <w:t xml:space="preserve"> постоянн</w:t>
            </w:r>
            <w:r>
              <w:rPr>
                <w:sz w:val="28"/>
                <w:szCs w:val="28"/>
              </w:rPr>
              <w:t>ого</w:t>
            </w:r>
            <w:r w:rsidRPr="00C75F9B">
              <w:rPr>
                <w:sz w:val="28"/>
                <w:szCs w:val="28"/>
              </w:rPr>
              <w:t xml:space="preserve"> </w:t>
            </w:r>
            <w:proofErr w:type="gramStart"/>
            <w:r w:rsidRPr="00C75F9B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я</w:t>
            </w:r>
            <w:r w:rsidRPr="00C75F9B">
              <w:rPr>
                <w:sz w:val="28"/>
                <w:szCs w:val="28"/>
              </w:rPr>
              <w:t xml:space="preserve"> за</w:t>
            </w:r>
            <w:proofErr w:type="gramEnd"/>
            <w:r w:rsidRPr="00C75F9B">
              <w:rPr>
                <w:sz w:val="28"/>
                <w:szCs w:val="28"/>
              </w:rPr>
              <w:t xml:space="preserve"> недопущением случаев назначения на должности государственных служащих работников, являющихся учредителями, руководителями субъектов хозяйствования, индивидуальными предпринимателями.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3693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 По решению начальника инспекции пров</w:t>
            </w:r>
            <w:r>
              <w:rPr>
                <w:sz w:val="28"/>
                <w:szCs w:val="28"/>
              </w:rPr>
              <w:t>е</w:t>
            </w:r>
            <w:r w:rsidRPr="00C75F9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ение</w:t>
            </w:r>
            <w:r w:rsidRPr="00C75F9B">
              <w:rPr>
                <w:sz w:val="28"/>
                <w:szCs w:val="28"/>
              </w:rPr>
              <w:t xml:space="preserve"> проверки деклараций сотрудников и совершеннолетних членов их семей по </w:t>
            </w:r>
            <w:r w:rsidRPr="00A30179">
              <w:rPr>
                <w:sz w:val="28"/>
                <w:szCs w:val="28"/>
              </w:rPr>
              <w:t xml:space="preserve">базам данных «ГАИ-Центр», Научно-производственного государственного республиканского УП  «Национальное кадастровое агентство», </w:t>
            </w:r>
            <w:r>
              <w:rPr>
                <w:sz w:val="28"/>
                <w:szCs w:val="28"/>
              </w:rPr>
              <w:t>и др.</w:t>
            </w:r>
            <w:r w:rsidRPr="00A30179">
              <w:rPr>
                <w:sz w:val="28"/>
                <w:szCs w:val="28"/>
              </w:rPr>
              <w:t xml:space="preserve"> на предмет достоверности данных</w:t>
            </w:r>
            <w:r w:rsidRPr="00C75F9B">
              <w:rPr>
                <w:sz w:val="28"/>
                <w:szCs w:val="28"/>
              </w:rPr>
              <w:t xml:space="preserve"> в представленных ими декларациях о доходах и имуществе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квартал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организационно-кадровой работы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656317">
        <w:trPr>
          <w:gridBefore w:val="1"/>
          <w:gridAfter w:val="1"/>
          <w:wBefore w:w="169" w:type="dxa"/>
          <w:wAfter w:w="107" w:type="dxa"/>
          <w:trHeight w:val="2121"/>
        </w:trPr>
        <w:tc>
          <w:tcPr>
            <w:tcW w:w="562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84" w:type="dxa"/>
            <w:gridSpan w:val="2"/>
            <w:shd w:val="clear" w:color="auto" w:fill="auto"/>
          </w:tcPr>
          <w:p w:rsidR="00656317" w:rsidRPr="00C75F9B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работниками инспекции ограничений на занятие видами деятельности, не относящимися к предпринимательской деятельности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5" w:type="dxa"/>
            <w:gridSpan w:val="2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Руководство инспекции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C75F9B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1028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656317" w:rsidRDefault="00656317" w:rsidP="00656317">
      <w:r>
        <w:br w:type="page"/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481"/>
        <w:gridCol w:w="2021"/>
        <w:gridCol w:w="2423"/>
        <w:gridCol w:w="1023"/>
      </w:tblGrid>
      <w:tr w:rsidR="00656317" w:rsidRPr="00C75F9B" w:rsidTr="00A72696">
        <w:tc>
          <w:tcPr>
            <w:tcW w:w="559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По решению председателя или по предложению начальника инспекции приглашать на заседания комиссий по противоде</w:t>
            </w:r>
            <w:r w:rsidRPr="004764DE">
              <w:rPr>
                <w:sz w:val="28"/>
                <w:szCs w:val="28"/>
              </w:rPr>
              <w:t>й</w:t>
            </w:r>
            <w:r w:rsidRPr="004764DE">
              <w:rPr>
                <w:sz w:val="28"/>
                <w:szCs w:val="28"/>
              </w:rPr>
              <w:t>ствию коррупции: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а) сотрудников инспекции, представивших неполные (недо</w:t>
            </w:r>
            <w:r w:rsidRPr="004764DE">
              <w:rPr>
                <w:sz w:val="28"/>
                <w:szCs w:val="28"/>
              </w:rPr>
              <w:t>с</w:t>
            </w:r>
            <w:r w:rsidRPr="004764DE">
              <w:rPr>
                <w:sz w:val="28"/>
                <w:szCs w:val="28"/>
              </w:rPr>
              <w:t>товерные) сведения в декларациях о доходах и имущ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стве;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б) сотрудников инспекции, в отношении которых имеется  информация о посещении ими игорных завед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ний;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в) сотрудников инспекции, в отношении которых имеется информация о противоправных де</w:t>
            </w:r>
            <w:r w:rsidRPr="004764DE">
              <w:rPr>
                <w:sz w:val="28"/>
                <w:szCs w:val="28"/>
              </w:rPr>
              <w:t>й</w:t>
            </w:r>
            <w:r w:rsidRPr="004764DE">
              <w:rPr>
                <w:sz w:val="28"/>
                <w:szCs w:val="28"/>
              </w:rPr>
              <w:t>ствиях;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г) сотрудников инспекции, в отношении которых поступили жал</w:t>
            </w:r>
            <w:r w:rsidRPr="004764DE">
              <w:rPr>
                <w:sz w:val="28"/>
                <w:szCs w:val="28"/>
              </w:rPr>
              <w:t>о</w:t>
            </w:r>
            <w:r w:rsidRPr="004764DE">
              <w:rPr>
                <w:sz w:val="28"/>
                <w:szCs w:val="28"/>
              </w:rPr>
              <w:t>бы, содержащие информацию о совершении ими противопра</w:t>
            </w:r>
            <w:r w:rsidRPr="004764DE">
              <w:rPr>
                <w:sz w:val="28"/>
                <w:szCs w:val="28"/>
              </w:rPr>
              <w:t>в</w:t>
            </w:r>
            <w:r w:rsidRPr="004764DE">
              <w:rPr>
                <w:sz w:val="28"/>
                <w:szCs w:val="28"/>
              </w:rPr>
              <w:t>ных действий и других нарушен</w:t>
            </w:r>
            <w:r w:rsidRPr="004764DE">
              <w:rPr>
                <w:sz w:val="28"/>
                <w:szCs w:val="28"/>
              </w:rPr>
              <w:t>и</w:t>
            </w:r>
            <w:r w:rsidRPr="004764DE">
              <w:rPr>
                <w:sz w:val="28"/>
                <w:szCs w:val="28"/>
              </w:rPr>
              <w:t>ях антикоррупционного законод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тельства;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 xml:space="preserve">д) иных лиц. </w:t>
            </w:r>
          </w:p>
          <w:p w:rsidR="00656317" w:rsidRPr="004764DE" w:rsidRDefault="00656317" w:rsidP="00A72696">
            <w:pPr>
              <w:pStyle w:val="a3"/>
              <w:tabs>
                <w:tab w:val="left" w:pos="4114"/>
              </w:tabs>
              <w:suppressAutoHyphens/>
              <w:spacing w:line="240" w:lineRule="exact"/>
              <w:ind w:left="53"/>
              <w:rPr>
                <w:sz w:val="28"/>
                <w:szCs w:val="28"/>
              </w:rPr>
            </w:pP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В даты проведения заседаний комиссии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Председатель комиссии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 xml:space="preserve">Члены комиссии 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Ответственные должностные лица от ИМНС по г. Минску</w:t>
            </w: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Обеспечение соблюдения утвержденного порядка согласов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ния кандидатур при поступл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нии на государственную службу (приеме на работу) и назначении (приеме) работников на руков</w:t>
            </w:r>
            <w:r w:rsidRPr="004764DE">
              <w:rPr>
                <w:sz w:val="28"/>
                <w:szCs w:val="28"/>
              </w:rPr>
              <w:t>о</w:t>
            </w:r>
            <w:r w:rsidRPr="004764DE">
              <w:rPr>
                <w:sz w:val="28"/>
                <w:szCs w:val="28"/>
              </w:rPr>
              <w:t>дящие должности в инспекцию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Руководство инспекции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4764DE">
              <w:rPr>
                <w:sz w:val="28"/>
                <w:szCs w:val="28"/>
              </w:rPr>
              <w:t>Рассматрение</w:t>
            </w:r>
            <w:proofErr w:type="spellEnd"/>
            <w:r w:rsidRPr="004764DE">
              <w:rPr>
                <w:sz w:val="28"/>
                <w:szCs w:val="28"/>
              </w:rPr>
              <w:t xml:space="preserve"> в коллективе инспекции информацию о выявленных фактах нарушения р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ботниками налоговых органов требований антикоррупционного законод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тельства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При установлении факта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Соблюдение требований приема на р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боту (согласование приема на работу) в инспекцию лиц, ранее уволенных из налоговых органов, осуществлять только п</w:t>
            </w:r>
            <w:r w:rsidRPr="004764DE">
              <w:rPr>
                <w:sz w:val="28"/>
                <w:szCs w:val="28"/>
              </w:rPr>
              <w:t>о</w:t>
            </w:r>
            <w:r w:rsidRPr="004764DE">
              <w:rPr>
                <w:sz w:val="28"/>
                <w:szCs w:val="28"/>
              </w:rPr>
              <w:t>сле согласования кандидатур Министерством по налогам и сборам Республики Б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ларусь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Руководство инспекции Руководители структурных подразделений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Сектор организационно-кадровой работы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Осуществление контроля по выявлению фактов получения работниками инспекции выигр</w:t>
            </w:r>
            <w:r w:rsidRPr="004764DE">
              <w:rPr>
                <w:sz w:val="28"/>
                <w:szCs w:val="28"/>
              </w:rPr>
              <w:t>ы</w:t>
            </w:r>
            <w:r w:rsidRPr="004764DE">
              <w:rPr>
                <w:sz w:val="28"/>
                <w:szCs w:val="28"/>
              </w:rPr>
              <w:t>шей в рабочее время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Руководство инспекции Руководители структурных подразделений</w:t>
            </w:r>
          </w:p>
          <w:p w:rsidR="00656317" w:rsidRPr="004764DE" w:rsidRDefault="00656317" w:rsidP="00656317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Сектор организационно-кадровой работы</w:t>
            </w:r>
            <w:bookmarkStart w:id="0" w:name="_GoBack"/>
            <w:bookmarkEnd w:id="0"/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4764DE">
              <w:rPr>
                <w:sz w:val="28"/>
                <w:szCs w:val="28"/>
              </w:rPr>
              <w:t xml:space="preserve">Обеспечение ведения реестра в отношении супругов, близких родственников (родителей, детей, в </w:t>
            </w:r>
            <w:proofErr w:type="spellStart"/>
            <w:r w:rsidRPr="004764DE">
              <w:rPr>
                <w:sz w:val="28"/>
                <w:szCs w:val="28"/>
              </w:rPr>
              <w:t>т.ч</w:t>
            </w:r>
            <w:proofErr w:type="spellEnd"/>
            <w:r w:rsidRPr="004764DE">
              <w:rPr>
                <w:sz w:val="28"/>
                <w:szCs w:val="28"/>
              </w:rPr>
              <w:t>. усыновленных (удоч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ренных), родных братьев, се</w:t>
            </w:r>
            <w:r w:rsidRPr="004764DE">
              <w:rPr>
                <w:sz w:val="28"/>
                <w:szCs w:val="28"/>
              </w:rPr>
              <w:t>с</w:t>
            </w:r>
            <w:r w:rsidRPr="004764DE">
              <w:rPr>
                <w:sz w:val="28"/>
                <w:szCs w:val="28"/>
              </w:rPr>
              <w:t>тер) свойственников (родителей супругов) работников инспе</w:t>
            </w:r>
            <w:r w:rsidRPr="004764DE">
              <w:rPr>
                <w:sz w:val="28"/>
                <w:szCs w:val="28"/>
              </w:rPr>
              <w:t>к</w:t>
            </w:r>
            <w:r w:rsidRPr="004764DE">
              <w:rPr>
                <w:sz w:val="28"/>
                <w:szCs w:val="28"/>
              </w:rPr>
              <w:t>ции, являющихся учредителями (уч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стниками), руководителями коммерческих или (и) неко</w:t>
            </w:r>
            <w:r w:rsidRPr="004764DE">
              <w:rPr>
                <w:sz w:val="28"/>
                <w:szCs w:val="28"/>
              </w:rPr>
              <w:t>м</w:t>
            </w:r>
            <w:r w:rsidRPr="004764DE">
              <w:rPr>
                <w:sz w:val="28"/>
                <w:szCs w:val="28"/>
              </w:rPr>
              <w:t>мерческих организаций, или (и) индивидуальными предприн</w:t>
            </w:r>
            <w:r w:rsidRPr="004764DE">
              <w:rPr>
                <w:sz w:val="28"/>
                <w:szCs w:val="28"/>
              </w:rPr>
              <w:t>и</w:t>
            </w:r>
            <w:r w:rsidRPr="004764DE">
              <w:rPr>
                <w:sz w:val="28"/>
                <w:szCs w:val="28"/>
              </w:rPr>
              <w:t>мателями, осуществляющими деятельность на территории Партизанского района.</w:t>
            </w:r>
            <w:proofErr w:type="gramEnd"/>
            <w:r w:rsidRPr="004764DE">
              <w:rPr>
                <w:sz w:val="28"/>
                <w:szCs w:val="28"/>
              </w:rPr>
              <w:t xml:space="preserve"> Провед</w:t>
            </w:r>
            <w:r w:rsidRPr="004764DE">
              <w:rPr>
                <w:sz w:val="28"/>
                <w:szCs w:val="28"/>
              </w:rPr>
              <w:t>е</w:t>
            </w:r>
            <w:r w:rsidRPr="004764DE">
              <w:rPr>
                <w:sz w:val="28"/>
                <w:szCs w:val="28"/>
              </w:rPr>
              <w:t>ние проверок в отношении ук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занных субъектов хозяйствов</w:t>
            </w:r>
            <w:r w:rsidRPr="004764DE">
              <w:rPr>
                <w:sz w:val="28"/>
                <w:szCs w:val="28"/>
              </w:rPr>
              <w:t>а</w:t>
            </w:r>
            <w:r w:rsidRPr="004764DE">
              <w:rPr>
                <w:sz w:val="28"/>
                <w:szCs w:val="28"/>
              </w:rPr>
              <w:t>ния в соответствии с Указом №510 от 16.10.2009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На регулярной основе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Руководство инспекции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Руководители структурных подразделений</w:t>
            </w:r>
          </w:p>
          <w:p w:rsidR="00656317" w:rsidRPr="004764DE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4764DE">
              <w:rPr>
                <w:sz w:val="28"/>
                <w:szCs w:val="28"/>
              </w:rPr>
              <w:t>контроля за</w:t>
            </w:r>
            <w:proofErr w:type="gramEnd"/>
            <w:r w:rsidRPr="004764DE">
              <w:rPr>
                <w:sz w:val="28"/>
                <w:szCs w:val="28"/>
              </w:rPr>
              <w:t xml:space="preserve">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за достоверностью сведений в лицевых счетах плательщиков и иной информации о плательщиках в АИС «Расчет налогов»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ежемесячно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Руководство инспекции Руководители соответствующих структурных подразделений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56317" w:rsidRPr="00C75F9B" w:rsidTr="00A72696">
        <w:tc>
          <w:tcPr>
            <w:tcW w:w="559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81" w:type="dxa"/>
            <w:shd w:val="clear" w:color="auto" w:fill="auto"/>
          </w:tcPr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Разработка и утверждение Плана работы на 2020 год</w:t>
            </w:r>
          </w:p>
        </w:tc>
        <w:tc>
          <w:tcPr>
            <w:tcW w:w="2021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4-й квартал</w:t>
            </w:r>
          </w:p>
        </w:tc>
        <w:tc>
          <w:tcPr>
            <w:tcW w:w="2423" w:type="dxa"/>
            <w:shd w:val="clear" w:color="auto" w:fill="auto"/>
          </w:tcPr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4764DE">
              <w:rPr>
                <w:sz w:val="28"/>
                <w:szCs w:val="28"/>
              </w:rPr>
              <w:t>Члены комиссии</w:t>
            </w:r>
          </w:p>
          <w:p w:rsidR="00656317" w:rsidRPr="004764DE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656317" w:rsidRPr="00C75F9B" w:rsidRDefault="00656317" w:rsidP="00A72696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656317" w:rsidRPr="00C75F9B" w:rsidRDefault="00656317" w:rsidP="00656317">
      <w:pPr>
        <w:suppressAutoHyphens/>
        <w:spacing w:line="240" w:lineRule="exact"/>
        <w:jc w:val="both"/>
        <w:rPr>
          <w:sz w:val="28"/>
          <w:szCs w:val="2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656317" w:rsidRDefault="00656317" w:rsidP="00656317">
      <w:pPr>
        <w:spacing w:line="180" w:lineRule="exact"/>
        <w:rPr>
          <w:sz w:val="18"/>
        </w:rPr>
      </w:pPr>
    </w:p>
    <w:p w:rsidR="003845FD" w:rsidRDefault="003845FD"/>
    <w:sectPr w:rsidR="003845FD" w:rsidSect="006563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A0"/>
    <w:rsid w:val="003845FD"/>
    <w:rsid w:val="00656317"/>
    <w:rsid w:val="007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317"/>
    <w:pPr>
      <w:widowControl/>
      <w:tabs>
        <w:tab w:val="left" w:pos="709"/>
        <w:tab w:val="left" w:pos="2268"/>
        <w:tab w:val="left" w:pos="4536"/>
        <w:tab w:val="left" w:pos="5670"/>
        <w:tab w:val="left" w:pos="6804"/>
        <w:tab w:val="left" w:pos="7938"/>
      </w:tabs>
      <w:autoSpaceDE/>
      <w:autoSpaceDN/>
      <w:adjustRightInd/>
      <w:ind w:firstLine="709"/>
      <w:jc w:val="both"/>
    </w:pPr>
    <w:rPr>
      <w:sz w:val="30"/>
      <w:szCs w:val="20"/>
    </w:rPr>
  </w:style>
  <w:style w:type="character" w:customStyle="1" w:styleId="a4">
    <w:name w:val="Основной текст с отступом Знак"/>
    <w:basedOn w:val="a0"/>
    <w:link w:val="a3"/>
    <w:rsid w:val="0065631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656317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656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317"/>
    <w:pPr>
      <w:widowControl/>
      <w:tabs>
        <w:tab w:val="left" w:pos="709"/>
        <w:tab w:val="left" w:pos="2268"/>
        <w:tab w:val="left" w:pos="4536"/>
        <w:tab w:val="left" w:pos="5670"/>
        <w:tab w:val="left" w:pos="6804"/>
        <w:tab w:val="left" w:pos="7938"/>
      </w:tabs>
      <w:autoSpaceDE/>
      <w:autoSpaceDN/>
      <w:adjustRightInd/>
      <w:ind w:firstLine="709"/>
      <w:jc w:val="both"/>
    </w:pPr>
    <w:rPr>
      <w:sz w:val="30"/>
      <w:szCs w:val="20"/>
    </w:rPr>
  </w:style>
  <w:style w:type="character" w:customStyle="1" w:styleId="a4">
    <w:name w:val="Основной текст с отступом Знак"/>
    <w:basedOn w:val="a0"/>
    <w:link w:val="a3"/>
    <w:rsid w:val="0065631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656317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6563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7155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Фридрик Юлия Павловна</dc:creator>
  <cp:keywords/>
  <dc:description/>
  <cp:lastModifiedBy>Фридрик Юлия Павловна</cp:lastModifiedBy>
  <cp:revision>2</cp:revision>
  <dcterms:created xsi:type="dcterms:W3CDTF">2019-02-13T11:18:00Z</dcterms:created>
  <dcterms:modified xsi:type="dcterms:W3CDTF">2019-02-13T11:19:00Z</dcterms:modified>
</cp:coreProperties>
</file>